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eastAsia="宋体"/>
          <w:b/>
          <w:bCs/>
          <w:sz w:val="36"/>
          <w:szCs w:val="36"/>
        </w:rPr>
      </w:pPr>
      <w:r>
        <w:rPr>
          <w:rFonts w:hint="eastAsia" w:ascii="宋体" w:hAnsi="宋体" w:cs="仿宋_GB2312"/>
          <w:b/>
          <w:bCs/>
          <w:sz w:val="36"/>
          <w:szCs w:val="36"/>
        </w:rPr>
        <w:t>淮北市公共资源交易监督管理局</w:t>
      </w:r>
      <w:r>
        <w:rPr>
          <w:rFonts w:ascii="宋体" w:hAnsi="宋体" w:cs="宋体"/>
          <w:b/>
          <w:bCs/>
          <w:sz w:val="36"/>
          <w:szCs w:val="36"/>
        </w:rPr>
        <w:t>2019</w:t>
      </w:r>
      <w:r>
        <w:rPr>
          <w:rFonts w:hint="eastAsia" w:ascii="宋体" w:hAnsi="宋体" w:cs="仿宋_GB2312"/>
          <w:b/>
          <w:bCs/>
          <w:sz w:val="36"/>
          <w:szCs w:val="36"/>
        </w:rPr>
        <w:t>年度一般公共预算财政拨款</w:t>
      </w:r>
      <w:r>
        <w:rPr>
          <w:rFonts w:hint="eastAsia" w:ascii="宋体" w:eastAsia="宋体" w:cs="宋体"/>
          <w:b/>
          <w:bCs/>
          <w:sz w:val="36"/>
          <w:szCs w:val="36"/>
        </w:rPr>
        <w:t>“</w:t>
      </w:r>
      <w:r>
        <w:rPr>
          <w:rFonts w:hint="eastAsia" w:ascii="宋体" w:hAnsi="宋体" w:cs="仿宋_GB2312"/>
          <w:b/>
          <w:bCs/>
          <w:sz w:val="36"/>
          <w:szCs w:val="36"/>
        </w:rPr>
        <w:t>三公”经费支出决算情况说明</w:t>
      </w:r>
    </w:p>
    <w:p>
      <w:pPr>
        <w:jc w:val="center"/>
        <w:rPr>
          <w:rFonts w:ascii="楷体_GB2312" w:eastAsia="楷体_GB2312"/>
        </w:rPr>
      </w:pPr>
    </w:p>
    <w:p>
      <w:pPr>
        <w:adjustRightInd w:val="0"/>
        <w:snapToGrid w:val="0"/>
        <w:spacing w:line="360" w:lineRule="auto"/>
        <w:jc w:val="center"/>
        <w:rPr>
          <w:rFonts w:ascii="宋体" w:eastAsia="宋体"/>
          <w:sz w:val="6"/>
          <w:szCs w:val="6"/>
        </w:rPr>
      </w:pPr>
    </w:p>
    <w:p>
      <w:pPr>
        <w:rPr>
          <w:rFonts w:ascii="仿宋" w:hAnsi="仿宋" w:eastAsia="仿宋"/>
        </w:rPr>
      </w:pPr>
      <w:r>
        <w:rPr>
          <w:rFonts w:ascii="黑体" w:hAnsi="黑体" w:eastAsia="黑体" w:cs="黑体"/>
        </w:rPr>
        <w:t xml:space="preserve">   </w:t>
      </w:r>
      <w:r>
        <w:rPr>
          <w:rFonts w:ascii="仿宋" w:hAnsi="仿宋" w:eastAsia="仿宋" w:cs="仿宋"/>
          <w:b/>
          <w:bCs/>
        </w:rPr>
        <w:t xml:space="preserve"> </w:t>
      </w:r>
      <w:r>
        <w:rPr>
          <w:rFonts w:hint="eastAsia" w:ascii="仿宋" w:hAnsi="仿宋" w:eastAsia="仿宋" w:cs="仿宋"/>
          <w:b/>
          <w:bCs/>
        </w:rPr>
        <w:t>一、</w:t>
      </w:r>
      <w:r>
        <w:rPr>
          <w:rFonts w:ascii="仿宋" w:hAnsi="仿宋" w:eastAsia="仿宋" w:cs="仿宋"/>
          <w:b/>
          <w:bCs/>
        </w:rPr>
        <w:t>2019</w:t>
      </w:r>
      <w:r>
        <w:rPr>
          <w:rFonts w:hint="eastAsia" w:ascii="仿宋" w:hAnsi="仿宋" w:eastAsia="仿宋" w:cs="仿宋"/>
          <w:b/>
          <w:bCs/>
        </w:rPr>
        <w:t>年度一般公共预算财政拨款“三公”经费支出决算表</w:t>
      </w:r>
      <w:r>
        <w:rPr>
          <w:rFonts w:ascii="仿宋" w:hAnsi="仿宋" w:eastAsia="仿宋" w:cs="仿宋"/>
          <w:b/>
          <w:bCs/>
        </w:rPr>
        <w:t xml:space="preserve">       </w:t>
      </w:r>
      <w:r>
        <w:rPr>
          <w:rFonts w:ascii="仿宋" w:hAnsi="仿宋" w:eastAsia="仿宋" w:cs="仿宋"/>
        </w:rPr>
        <w:t xml:space="preserve">                             </w:t>
      </w:r>
      <w:r>
        <w:rPr>
          <w:rFonts w:hint="eastAsia" w:ascii="仿宋" w:hAnsi="仿宋" w:eastAsia="仿宋" w:cs="仿宋"/>
        </w:rPr>
        <w:t>单位：万元</w:t>
      </w:r>
    </w:p>
    <w:tbl>
      <w:tblPr>
        <w:tblStyle w:val="4"/>
        <w:tblpPr w:leftFromText="180" w:rightFromText="180" w:vertAnchor="text" w:horzAnchor="margin" w:tblpY="454"/>
        <w:tblOverlap w:val="never"/>
        <w:tblW w:w="0" w:type="auto"/>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bCs/>
                <w:kern w:val="0"/>
              </w:rPr>
            </w:pPr>
            <w:r>
              <w:rPr>
                <w:rFonts w:hint="eastAsia" w:ascii="仿宋" w:hAnsi="仿宋" w:eastAsia="仿宋" w:cs="仿宋"/>
                <w:b/>
                <w:bCs/>
                <w:kern w:val="0"/>
              </w:rPr>
              <w:t>项</w:t>
            </w:r>
            <w:r>
              <w:rPr>
                <w:rFonts w:ascii="仿宋" w:hAnsi="仿宋" w:eastAsia="仿宋" w:cs="仿宋"/>
                <w:b/>
                <w:bCs/>
                <w:kern w:val="0"/>
              </w:rPr>
              <w:t xml:space="preserve">  </w:t>
            </w:r>
            <w:r>
              <w:rPr>
                <w:rFonts w:hint="eastAsia" w:ascii="仿宋" w:hAnsi="仿宋" w:eastAsia="仿宋" w:cs="仿宋"/>
                <w:b/>
                <w:bCs/>
                <w:kern w:val="0"/>
              </w:rPr>
              <w:t>目</w:t>
            </w:r>
          </w:p>
        </w:tc>
        <w:tc>
          <w:tcPr>
            <w:tcW w:w="21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rPr>
            </w:pPr>
            <w:r>
              <w:rPr>
                <w:rFonts w:hint="eastAsia" w:ascii="仿宋" w:hAnsi="仿宋" w:eastAsia="仿宋" w:cs="仿宋"/>
                <w:b/>
                <w:bCs/>
                <w:kern w:val="0"/>
              </w:rPr>
              <w:t>预</w:t>
            </w:r>
            <w:r>
              <w:rPr>
                <w:rFonts w:ascii="仿宋" w:hAnsi="仿宋" w:eastAsia="仿宋" w:cs="仿宋"/>
                <w:b/>
                <w:bCs/>
                <w:kern w:val="0"/>
              </w:rPr>
              <w:t xml:space="preserve"> </w:t>
            </w:r>
            <w:r>
              <w:rPr>
                <w:rFonts w:hint="eastAsia" w:ascii="仿宋" w:hAnsi="仿宋" w:eastAsia="仿宋" w:cs="仿宋"/>
                <w:b/>
                <w:bCs/>
                <w:kern w:val="0"/>
              </w:rPr>
              <w:t>算</w:t>
            </w:r>
            <w:r>
              <w:rPr>
                <w:rFonts w:ascii="仿宋" w:hAnsi="仿宋" w:eastAsia="仿宋" w:cs="仿宋"/>
                <w:b/>
                <w:bCs/>
                <w:kern w:val="0"/>
              </w:rPr>
              <w:t xml:space="preserve"> </w:t>
            </w:r>
            <w:r>
              <w:rPr>
                <w:rFonts w:hint="eastAsia" w:ascii="仿宋" w:hAnsi="仿宋" w:eastAsia="仿宋" w:cs="仿宋"/>
                <w:b/>
                <w:bCs/>
                <w:kern w:val="0"/>
              </w:rPr>
              <w:t>数</w:t>
            </w:r>
          </w:p>
        </w:tc>
        <w:tc>
          <w:tcPr>
            <w:tcW w:w="222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rPr>
            </w:pPr>
            <w:r>
              <w:rPr>
                <w:rFonts w:hint="eastAsia" w:ascii="仿宋" w:hAnsi="仿宋" w:eastAsia="仿宋" w:cs="仿宋"/>
                <w:b/>
                <w:bCs/>
                <w:kern w:val="0"/>
              </w:rPr>
              <w:t>决</w:t>
            </w:r>
            <w:r>
              <w:rPr>
                <w:rFonts w:ascii="仿宋" w:hAnsi="仿宋" w:eastAsia="仿宋" w:cs="仿宋"/>
                <w:b/>
                <w:bCs/>
                <w:kern w:val="0"/>
              </w:rPr>
              <w:t xml:space="preserve"> </w:t>
            </w:r>
            <w:r>
              <w:rPr>
                <w:rFonts w:hint="eastAsia" w:ascii="仿宋" w:hAnsi="仿宋" w:eastAsia="仿宋" w:cs="仿宋"/>
                <w:b/>
                <w:bCs/>
                <w:kern w:val="0"/>
              </w:rPr>
              <w:t>算</w:t>
            </w:r>
            <w:r>
              <w:rPr>
                <w:rFonts w:ascii="仿宋" w:hAnsi="仿宋" w:eastAsia="仿宋" w:cs="仿宋"/>
                <w:b/>
                <w:bCs/>
                <w:kern w:val="0"/>
              </w:rPr>
              <w:t xml:space="preserve"> </w:t>
            </w:r>
            <w:r>
              <w:rPr>
                <w:rFonts w:hint="eastAsia" w:ascii="仿宋" w:hAnsi="仿宋" w:eastAsia="仿宋" w:cs="仿宋"/>
                <w:b/>
                <w:bCs/>
                <w:kern w:val="0"/>
              </w:rPr>
              <w:t>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b/>
                <w:bCs/>
                <w:kern w:val="0"/>
              </w:rPr>
            </w:pPr>
            <w:r>
              <w:rPr>
                <w:rFonts w:hint="eastAsia" w:ascii="仿宋" w:hAnsi="仿宋" w:eastAsia="仿宋" w:cs="仿宋"/>
                <w:b/>
                <w:bCs/>
                <w:kern w:val="0"/>
              </w:rPr>
              <w:t>合</w:t>
            </w:r>
            <w:r>
              <w:rPr>
                <w:rFonts w:ascii="仿宋" w:hAnsi="仿宋" w:eastAsia="仿宋" w:cs="仿宋"/>
                <w:b/>
                <w:bCs/>
                <w:kern w:val="0"/>
              </w:rPr>
              <w:t xml:space="preserve">  </w:t>
            </w:r>
            <w:r>
              <w:rPr>
                <w:rFonts w:hint="eastAsia" w:ascii="仿宋" w:hAnsi="仿宋" w:eastAsia="仿宋" w:cs="仿宋"/>
                <w:b/>
                <w:bCs/>
                <w:kern w:val="0"/>
              </w:rPr>
              <w:t>计</w:t>
            </w:r>
          </w:p>
        </w:tc>
        <w:tc>
          <w:tcPr>
            <w:tcW w:w="2157" w:type="dxa"/>
            <w:tcBorders>
              <w:top w:val="nil"/>
              <w:left w:val="nil"/>
              <w:bottom w:val="single" w:color="auto" w:sz="4" w:space="0"/>
              <w:right w:val="single" w:color="auto" w:sz="4" w:space="0"/>
            </w:tcBorders>
            <w:vAlign w:val="center"/>
          </w:tcPr>
          <w:p>
            <w:pPr>
              <w:widowControl/>
              <w:jc w:val="center"/>
              <w:rPr>
                <w:rFonts w:ascii="仿宋" w:hAnsi="仿宋" w:eastAsia="仿宋"/>
                <w:b/>
                <w:bCs/>
                <w:kern w:val="0"/>
              </w:rPr>
            </w:pPr>
            <w:r>
              <w:rPr>
                <w:rFonts w:ascii="仿宋" w:hAnsi="仿宋" w:eastAsia="仿宋" w:cs="仿宋"/>
                <w:b/>
                <w:bCs/>
                <w:kern w:val="0"/>
              </w:rPr>
              <w:t>4</w:t>
            </w:r>
          </w:p>
        </w:tc>
        <w:tc>
          <w:tcPr>
            <w:tcW w:w="2220" w:type="dxa"/>
            <w:tcBorders>
              <w:top w:val="nil"/>
              <w:left w:val="nil"/>
              <w:bottom w:val="single" w:color="auto" w:sz="4" w:space="0"/>
              <w:right w:val="single" w:color="auto" w:sz="4" w:space="0"/>
            </w:tcBorders>
            <w:vAlign w:val="center"/>
          </w:tcPr>
          <w:p>
            <w:pPr>
              <w:widowControl/>
              <w:jc w:val="center"/>
              <w:rPr>
                <w:rFonts w:ascii="仿宋" w:hAnsi="仿宋" w:eastAsia="仿宋"/>
                <w:b/>
                <w:bCs/>
                <w:kern w:val="0"/>
              </w:rPr>
            </w:pPr>
            <w:r>
              <w:rPr>
                <w:rFonts w:ascii="仿宋" w:hAnsi="仿宋" w:eastAsia="仿宋" w:cs="仿宋"/>
                <w:b/>
                <w:bCs/>
                <w:kern w:val="0"/>
              </w:rPr>
              <w:t>3.96</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r>
              <w:rPr>
                <w:rFonts w:hint="eastAsia" w:ascii="仿宋" w:hAnsi="仿宋" w:eastAsia="仿宋" w:cs="仿宋"/>
                <w:kern w:val="0"/>
              </w:rPr>
              <w:t>因公出国（境）费</w:t>
            </w:r>
          </w:p>
        </w:tc>
        <w:tc>
          <w:tcPr>
            <w:tcW w:w="2157" w:type="dxa"/>
            <w:tcBorders>
              <w:top w:val="nil"/>
              <w:left w:val="nil"/>
              <w:bottom w:val="single" w:color="auto" w:sz="4" w:space="0"/>
              <w:right w:val="single" w:color="auto" w:sz="4" w:space="0"/>
            </w:tcBorders>
            <w:vAlign w:val="bottom"/>
          </w:tcPr>
          <w:p>
            <w:pPr>
              <w:widowControl/>
              <w:jc w:val="center"/>
              <w:rPr>
                <w:rFonts w:hint="eastAsia" w:ascii="仿宋" w:hAnsi="仿宋" w:eastAsia="仿宋"/>
                <w:kern w:val="0"/>
                <w:lang w:val="en-US" w:eastAsia="zh-CN"/>
              </w:rPr>
            </w:pPr>
            <w:r>
              <w:rPr>
                <w:rFonts w:hint="eastAsia" w:ascii="仿宋" w:hAnsi="仿宋" w:eastAsia="仿宋" w:cs="仿宋"/>
                <w:kern w:val="0"/>
                <w:lang w:val="en-US" w:eastAsia="zh-CN"/>
              </w:rPr>
              <w:t>0</w:t>
            </w:r>
          </w:p>
        </w:tc>
        <w:tc>
          <w:tcPr>
            <w:tcW w:w="2220" w:type="dxa"/>
            <w:tcBorders>
              <w:top w:val="nil"/>
              <w:left w:val="nil"/>
              <w:bottom w:val="single" w:color="auto" w:sz="4" w:space="0"/>
              <w:right w:val="single" w:color="auto" w:sz="4" w:space="0"/>
            </w:tcBorders>
            <w:vAlign w:val="bottom"/>
          </w:tcPr>
          <w:p>
            <w:pPr>
              <w:widowControl/>
              <w:jc w:val="center"/>
              <w:rPr>
                <w:rFonts w:hint="eastAsia" w:ascii="仿宋" w:hAnsi="仿宋" w:eastAsia="仿宋"/>
                <w:kern w:val="0"/>
                <w:lang w:val="en-US" w:eastAsia="zh-CN"/>
              </w:rPr>
            </w:pPr>
            <w:r>
              <w:rPr>
                <w:rFonts w:hint="eastAsia" w:ascii="仿宋" w:hAnsi="仿宋" w:eastAsia="仿宋" w:cs="仿宋"/>
                <w:kern w:val="0"/>
                <w:lang w:val="en-US" w:eastAsia="zh-CN"/>
              </w:rPr>
              <w:t>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r>
              <w:rPr>
                <w:rFonts w:hint="eastAsia" w:ascii="仿宋" w:hAnsi="仿宋" w:eastAsia="仿宋" w:cs="仿宋"/>
                <w:kern w:val="0"/>
              </w:rPr>
              <w:t>公务接待费</w:t>
            </w:r>
          </w:p>
        </w:tc>
        <w:tc>
          <w:tcPr>
            <w:tcW w:w="2157" w:type="dxa"/>
            <w:tcBorders>
              <w:top w:val="nil"/>
              <w:left w:val="nil"/>
              <w:bottom w:val="single" w:color="auto" w:sz="4" w:space="0"/>
              <w:right w:val="single" w:color="auto" w:sz="4" w:space="0"/>
            </w:tcBorders>
            <w:vAlign w:val="bottom"/>
          </w:tcPr>
          <w:p>
            <w:pPr>
              <w:widowControl/>
              <w:jc w:val="center"/>
              <w:rPr>
                <w:rFonts w:ascii="仿宋" w:hAnsi="仿宋" w:eastAsia="仿宋"/>
                <w:kern w:val="0"/>
              </w:rPr>
            </w:pPr>
            <w:r>
              <w:rPr>
                <w:rFonts w:ascii="仿宋" w:hAnsi="仿宋" w:eastAsia="仿宋" w:cs="仿宋"/>
                <w:kern w:val="0"/>
              </w:rPr>
              <w:t>1.6</w:t>
            </w:r>
          </w:p>
        </w:tc>
        <w:tc>
          <w:tcPr>
            <w:tcW w:w="2220" w:type="dxa"/>
            <w:tcBorders>
              <w:top w:val="nil"/>
              <w:left w:val="nil"/>
              <w:bottom w:val="single" w:color="auto" w:sz="4" w:space="0"/>
              <w:right w:val="single" w:color="auto" w:sz="4" w:space="0"/>
            </w:tcBorders>
            <w:vAlign w:val="bottom"/>
          </w:tcPr>
          <w:p>
            <w:pPr>
              <w:widowControl/>
              <w:jc w:val="center"/>
              <w:rPr>
                <w:rFonts w:ascii="仿宋" w:hAnsi="仿宋" w:eastAsia="仿宋"/>
                <w:kern w:val="0"/>
              </w:rPr>
            </w:pPr>
            <w:r>
              <w:rPr>
                <w:rFonts w:ascii="仿宋" w:hAnsi="仿宋" w:eastAsia="仿宋" w:cs="仿宋"/>
                <w:kern w:val="0"/>
              </w:rPr>
              <w:t>1.57</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r>
              <w:rPr>
                <w:rFonts w:hint="eastAsia" w:ascii="仿宋" w:hAnsi="仿宋" w:eastAsia="仿宋" w:cs="仿宋"/>
                <w:kern w:val="0"/>
              </w:rPr>
              <w:t>公务用车购置及运行维护费</w:t>
            </w:r>
          </w:p>
        </w:tc>
        <w:tc>
          <w:tcPr>
            <w:tcW w:w="2157" w:type="dxa"/>
            <w:tcBorders>
              <w:top w:val="nil"/>
              <w:left w:val="nil"/>
              <w:bottom w:val="single" w:color="auto" w:sz="4" w:space="0"/>
              <w:right w:val="single" w:color="auto" w:sz="4" w:space="0"/>
            </w:tcBorders>
            <w:vAlign w:val="bottom"/>
          </w:tcPr>
          <w:p>
            <w:pPr>
              <w:widowControl/>
              <w:jc w:val="center"/>
              <w:rPr>
                <w:rFonts w:ascii="仿宋" w:hAnsi="仿宋" w:eastAsia="仿宋"/>
                <w:kern w:val="0"/>
              </w:rPr>
            </w:pPr>
            <w:r>
              <w:rPr>
                <w:rFonts w:ascii="仿宋" w:hAnsi="仿宋" w:eastAsia="仿宋" w:cs="仿宋"/>
                <w:kern w:val="0"/>
              </w:rPr>
              <w:t>2.4</w:t>
            </w:r>
          </w:p>
        </w:tc>
        <w:tc>
          <w:tcPr>
            <w:tcW w:w="2220" w:type="dxa"/>
            <w:tcBorders>
              <w:top w:val="nil"/>
              <w:left w:val="nil"/>
              <w:bottom w:val="single" w:color="auto" w:sz="4" w:space="0"/>
              <w:right w:val="single" w:color="auto" w:sz="4" w:space="0"/>
            </w:tcBorders>
            <w:vAlign w:val="bottom"/>
          </w:tcPr>
          <w:p>
            <w:pPr>
              <w:widowControl/>
              <w:jc w:val="center"/>
              <w:rPr>
                <w:rFonts w:ascii="仿宋" w:hAnsi="仿宋" w:eastAsia="仿宋"/>
                <w:kern w:val="0"/>
              </w:rPr>
            </w:pPr>
            <w:r>
              <w:rPr>
                <w:rFonts w:ascii="仿宋" w:hAnsi="仿宋" w:eastAsia="仿宋" w:cs="仿宋"/>
                <w:kern w:val="0"/>
              </w:rPr>
              <w:t>2.39</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r>
              <w:rPr>
                <w:rFonts w:ascii="仿宋" w:hAnsi="仿宋" w:eastAsia="仿宋" w:cs="仿宋"/>
                <w:kern w:val="0"/>
              </w:rPr>
              <w:t xml:space="preserve">  </w:t>
            </w:r>
            <w:r>
              <w:rPr>
                <w:rFonts w:hint="eastAsia" w:ascii="仿宋" w:hAnsi="仿宋" w:eastAsia="仿宋" w:cs="仿宋"/>
                <w:kern w:val="0"/>
              </w:rPr>
              <w:t>其中：公务用车运行维护费</w:t>
            </w:r>
          </w:p>
        </w:tc>
        <w:tc>
          <w:tcPr>
            <w:tcW w:w="2157" w:type="dxa"/>
            <w:tcBorders>
              <w:top w:val="nil"/>
              <w:left w:val="nil"/>
              <w:bottom w:val="single" w:color="auto" w:sz="4" w:space="0"/>
              <w:right w:val="single" w:color="auto" w:sz="4" w:space="0"/>
            </w:tcBorders>
            <w:vAlign w:val="bottom"/>
          </w:tcPr>
          <w:p>
            <w:pPr>
              <w:widowControl/>
              <w:jc w:val="center"/>
              <w:rPr>
                <w:rFonts w:hint="default" w:ascii="仿宋" w:hAnsi="仿宋" w:eastAsia="仿宋"/>
                <w:kern w:val="0"/>
                <w:lang w:val="en-US" w:eastAsia="zh-CN"/>
              </w:rPr>
            </w:pPr>
            <w:r>
              <w:rPr>
                <w:rFonts w:hint="eastAsia" w:ascii="仿宋" w:hAnsi="仿宋" w:eastAsia="仿宋" w:cs="仿宋"/>
                <w:kern w:val="0"/>
                <w:lang w:val="en-US" w:eastAsia="zh-CN"/>
              </w:rPr>
              <w:t>2.4</w:t>
            </w:r>
          </w:p>
        </w:tc>
        <w:tc>
          <w:tcPr>
            <w:tcW w:w="2220" w:type="dxa"/>
            <w:tcBorders>
              <w:top w:val="nil"/>
              <w:left w:val="nil"/>
              <w:bottom w:val="single" w:color="auto" w:sz="4" w:space="0"/>
              <w:right w:val="single" w:color="auto" w:sz="4" w:space="0"/>
            </w:tcBorders>
            <w:vAlign w:val="bottom"/>
          </w:tcPr>
          <w:p>
            <w:pPr>
              <w:widowControl/>
              <w:jc w:val="center"/>
              <w:rPr>
                <w:rFonts w:ascii="仿宋" w:hAnsi="仿宋" w:eastAsia="仿宋"/>
                <w:kern w:val="0"/>
              </w:rPr>
            </w:pPr>
            <w:r>
              <w:rPr>
                <w:rFonts w:ascii="仿宋" w:hAnsi="仿宋" w:eastAsia="仿宋" w:cs="仿宋"/>
                <w:kern w:val="0"/>
              </w:rPr>
              <w:t>2.39</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r>
              <w:rPr>
                <w:rFonts w:ascii="仿宋" w:hAnsi="仿宋" w:eastAsia="仿宋" w:cs="仿宋"/>
                <w:kern w:val="0"/>
              </w:rPr>
              <w:t xml:space="preserve">        </w:t>
            </w:r>
            <w:r>
              <w:rPr>
                <w:rFonts w:hint="eastAsia" w:ascii="仿宋" w:hAnsi="仿宋" w:eastAsia="仿宋" w:cs="仿宋"/>
                <w:kern w:val="0"/>
              </w:rPr>
              <w:t>公务用车购置费</w:t>
            </w:r>
            <w:r>
              <w:rPr>
                <w:rFonts w:ascii="仿宋" w:hAnsi="仿宋" w:eastAsia="仿宋" w:cs="仿宋"/>
                <w:kern w:val="0"/>
              </w:rPr>
              <w:t xml:space="preserve"> </w:t>
            </w:r>
          </w:p>
        </w:tc>
        <w:tc>
          <w:tcPr>
            <w:tcW w:w="2157" w:type="dxa"/>
            <w:tcBorders>
              <w:top w:val="nil"/>
              <w:left w:val="nil"/>
              <w:bottom w:val="single" w:color="auto" w:sz="4" w:space="0"/>
              <w:right w:val="single" w:color="auto" w:sz="4" w:space="0"/>
            </w:tcBorders>
            <w:vAlign w:val="bottom"/>
          </w:tcPr>
          <w:p>
            <w:pPr>
              <w:widowControl/>
              <w:jc w:val="center"/>
              <w:rPr>
                <w:rFonts w:hint="eastAsia" w:ascii="仿宋" w:hAnsi="仿宋" w:eastAsia="仿宋"/>
                <w:kern w:val="0"/>
                <w:lang w:val="en-US" w:eastAsia="zh-CN"/>
              </w:rPr>
            </w:pPr>
            <w:r>
              <w:rPr>
                <w:rFonts w:hint="eastAsia" w:ascii="仿宋" w:hAnsi="仿宋" w:eastAsia="仿宋" w:cs="仿宋"/>
                <w:kern w:val="0"/>
                <w:lang w:val="en-US" w:eastAsia="zh-CN"/>
              </w:rPr>
              <w:t>0</w:t>
            </w:r>
          </w:p>
        </w:tc>
        <w:tc>
          <w:tcPr>
            <w:tcW w:w="2220" w:type="dxa"/>
            <w:tcBorders>
              <w:top w:val="nil"/>
              <w:left w:val="nil"/>
              <w:bottom w:val="single" w:color="auto" w:sz="4" w:space="0"/>
              <w:right w:val="single" w:color="auto" w:sz="4" w:space="0"/>
            </w:tcBorders>
            <w:vAlign w:val="bottom"/>
          </w:tcPr>
          <w:p>
            <w:pPr>
              <w:widowControl/>
              <w:jc w:val="center"/>
              <w:rPr>
                <w:rFonts w:hint="eastAsia" w:ascii="仿宋" w:hAnsi="仿宋" w:eastAsia="仿宋"/>
                <w:kern w:val="0"/>
                <w:lang w:val="en-US" w:eastAsia="zh-CN"/>
              </w:rPr>
            </w:pPr>
            <w:r>
              <w:rPr>
                <w:rFonts w:hint="eastAsia" w:ascii="仿宋" w:hAnsi="仿宋" w:eastAsia="仿宋" w:cs="仿宋"/>
                <w:kern w:val="0"/>
                <w:lang w:val="en-US" w:eastAsia="zh-CN"/>
              </w:rPr>
              <w:t>0</w:t>
            </w:r>
          </w:p>
        </w:tc>
      </w:tr>
    </w:tbl>
    <w:p>
      <w:pPr>
        <w:ind w:firstLine="640" w:firstLineChars="200"/>
        <w:rPr>
          <w:rFonts w:ascii="仿宋" w:hAnsi="仿宋" w:eastAsia="仿宋" w:cs="仿宋"/>
        </w:rPr>
      </w:pPr>
      <w:r>
        <w:rPr>
          <w:rFonts w:ascii="仿宋" w:hAnsi="仿宋" w:eastAsia="仿宋" w:cs="仿宋"/>
        </w:rPr>
        <w:t xml:space="preserve">                                      </w:t>
      </w:r>
    </w:p>
    <w:p>
      <w:pPr>
        <w:rPr>
          <w:rFonts w:ascii="仿宋" w:hAnsi="仿宋" w:eastAsia="仿宋"/>
          <w:b/>
          <w:bCs/>
        </w:rPr>
      </w:pPr>
      <w:r>
        <w:rPr>
          <w:rFonts w:ascii="仿宋" w:hAnsi="仿宋" w:eastAsia="仿宋" w:cs="仿宋"/>
        </w:rPr>
        <w:t xml:space="preserve">    </w:t>
      </w:r>
      <w:r>
        <w:rPr>
          <w:rFonts w:hint="eastAsia" w:ascii="仿宋" w:hAnsi="仿宋" w:eastAsia="仿宋" w:cs="仿宋"/>
          <w:b/>
          <w:bCs/>
        </w:rPr>
        <w:t>二、</w:t>
      </w:r>
      <w:r>
        <w:rPr>
          <w:rFonts w:ascii="仿宋" w:hAnsi="仿宋" w:eastAsia="仿宋" w:cs="仿宋"/>
          <w:b/>
          <w:bCs/>
        </w:rPr>
        <w:t>2019</w:t>
      </w:r>
      <w:r>
        <w:rPr>
          <w:rFonts w:hint="eastAsia" w:ascii="仿宋" w:hAnsi="仿宋" w:eastAsia="仿宋" w:cs="仿宋"/>
          <w:b/>
          <w:bCs/>
        </w:rPr>
        <w:t>年度一般公共预算财政拨款“三公”经费支出情况说明</w:t>
      </w:r>
    </w:p>
    <w:p>
      <w:pPr>
        <w:ind w:firstLine="643" w:firstLineChars="200"/>
        <w:rPr>
          <w:rFonts w:ascii="仿宋" w:hAnsi="仿宋" w:eastAsia="仿宋"/>
          <w:b/>
          <w:bCs/>
        </w:rPr>
      </w:pPr>
      <w:r>
        <w:rPr>
          <w:rFonts w:hint="eastAsia" w:ascii="仿宋" w:hAnsi="仿宋" w:eastAsia="仿宋" w:cs="仿宋"/>
          <w:b/>
          <w:bCs/>
        </w:rPr>
        <w:t>（一）一般公共预算财政拨款“三公”经费支出决算总体情况说明。</w:t>
      </w:r>
    </w:p>
    <w:p>
      <w:pPr>
        <w:ind w:firstLine="640" w:firstLineChars="200"/>
        <w:rPr>
          <w:rFonts w:ascii="仿宋" w:hAnsi="仿宋" w:eastAsia="仿宋"/>
        </w:rPr>
      </w:pPr>
      <w:r>
        <w:rPr>
          <w:rFonts w:hint="eastAsia" w:ascii="仿宋" w:hAnsi="仿宋" w:eastAsia="仿宋" w:cs="仿宋"/>
        </w:rPr>
        <w:t>淮北市公共资源交易监督管理局</w:t>
      </w:r>
      <w:r>
        <w:rPr>
          <w:rFonts w:ascii="仿宋" w:hAnsi="仿宋" w:eastAsia="仿宋" w:cs="仿宋"/>
        </w:rPr>
        <w:t>2019</w:t>
      </w:r>
      <w:r>
        <w:rPr>
          <w:rFonts w:hint="eastAsia" w:ascii="仿宋" w:hAnsi="仿宋" w:eastAsia="仿宋" w:cs="仿宋"/>
        </w:rPr>
        <w:t>年度一般公共预算财政拨款“三公”经费支出预算为</w:t>
      </w:r>
      <w:r>
        <w:rPr>
          <w:rFonts w:ascii="仿宋" w:hAnsi="仿宋" w:eastAsia="仿宋" w:cs="仿宋"/>
        </w:rPr>
        <w:t>4</w:t>
      </w:r>
      <w:r>
        <w:rPr>
          <w:rFonts w:hint="eastAsia" w:ascii="仿宋" w:hAnsi="仿宋" w:eastAsia="仿宋" w:cs="仿宋"/>
        </w:rPr>
        <w:t>万元，支出决算为</w:t>
      </w:r>
      <w:r>
        <w:rPr>
          <w:rFonts w:ascii="仿宋" w:hAnsi="仿宋" w:eastAsia="仿宋" w:cs="仿宋"/>
        </w:rPr>
        <w:t>3.96</w:t>
      </w:r>
      <w:r>
        <w:rPr>
          <w:rFonts w:hint="eastAsia" w:ascii="仿宋" w:hAnsi="仿宋" w:eastAsia="仿宋" w:cs="仿宋"/>
        </w:rPr>
        <w:t>万元，完成预算的</w:t>
      </w:r>
      <w:r>
        <w:rPr>
          <w:rFonts w:ascii="仿宋" w:hAnsi="仿宋" w:eastAsia="仿宋" w:cs="仿宋"/>
        </w:rPr>
        <w:t>99%</w:t>
      </w:r>
      <w:r>
        <w:rPr>
          <w:rFonts w:hint="eastAsia" w:ascii="仿宋" w:hAnsi="仿宋" w:eastAsia="仿宋" w:cs="仿宋"/>
        </w:rPr>
        <w:t>。为全面反映“三公”经费支出，本次公布的“三公”经费决算为部门汇总数，包含局本级和局属单位。</w:t>
      </w:r>
    </w:p>
    <w:p>
      <w:pPr>
        <w:ind w:firstLine="643" w:firstLineChars="200"/>
        <w:rPr>
          <w:rFonts w:ascii="仿宋" w:hAnsi="仿宋" w:eastAsia="仿宋"/>
          <w:b/>
          <w:bCs/>
        </w:rPr>
      </w:pPr>
      <w:r>
        <w:rPr>
          <w:rFonts w:hint="eastAsia" w:ascii="仿宋" w:hAnsi="仿宋" w:eastAsia="仿宋" w:cs="仿宋"/>
          <w:b/>
          <w:bCs/>
        </w:rPr>
        <w:t>（二）一般公共预算财政拨款“三公”经费支出决算具体情况说明。</w:t>
      </w:r>
    </w:p>
    <w:p>
      <w:pPr>
        <w:ind w:firstLine="640" w:firstLineChars="200"/>
        <w:rPr>
          <w:rFonts w:ascii="仿宋" w:hAnsi="仿宋" w:eastAsia="仿宋"/>
        </w:rPr>
      </w:pPr>
      <w:r>
        <w:rPr>
          <w:rFonts w:hint="eastAsia" w:ascii="仿宋" w:hAnsi="仿宋" w:eastAsia="仿宋" w:cs="仿宋"/>
        </w:rPr>
        <w:t>淮北市公共资源交易监督管理局</w:t>
      </w:r>
      <w:r>
        <w:rPr>
          <w:rFonts w:ascii="仿宋" w:hAnsi="仿宋" w:eastAsia="仿宋" w:cs="仿宋"/>
        </w:rPr>
        <w:t>2019</w:t>
      </w:r>
      <w:r>
        <w:rPr>
          <w:rFonts w:hint="eastAsia" w:ascii="仿宋" w:hAnsi="仿宋" w:eastAsia="仿宋" w:cs="仿宋"/>
        </w:rPr>
        <w:t>年度一般公共预算财政拨款“三公”经费支出决算中，因公出国（境）费支出决算</w:t>
      </w:r>
      <w:r>
        <w:rPr>
          <w:rFonts w:ascii="仿宋" w:hAnsi="仿宋" w:eastAsia="仿宋" w:cs="仿宋"/>
        </w:rPr>
        <w:t>0</w:t>
      </w:r>
      <w:r>
        <w:rPr>
          <w:rFonts w:hint="eastAsia" w:ascii="仿宋" w:hAnsi="仿宋" w:eastAsia="仿宋" w:cs="仿宋"/>
        </w:rPr>
        <w:t>万元，占</w:t>
      </w:r>
      <w:r>
        <w:rPr>
          <w:rFonts w:ascii="仿宋" w:hAnsi="仿宋" w:eastAsia="仿宋" w:cs="仿宋"/>
        </w:rPr>
        <w:t>0%;</w:t>
      </w:r>
      <w:r>
        <w:rPr>
          <w:rFonts w:hint="eastAsia" w:ascii="仿宋" w:hAnsi="仿宋" w:eastAsia="仿宋" w:cs="仿宋"/>
        </w:rPr>
        <w:t>公务接待费支出决算</w:t>
      </w:r>
      <w:r>
        <w:rPr>
          <w:rFonts w:ascii="仿宋" w:hAnsi="仿宋" w:eastAsia="仿宋" w:cs="仿宋"/>
        </w:rPr>
        <w:t>1.57</w:t>
      </w:r>
      <w:r>
        <w:rPr>
          <w:rFonts w:hint="eastAsia" w:ascii="仿宋" w:hAnsi="仿宋" w:eastAsia="仿宋" w:cs="仿宋"/>
        </w:rPr>
        <w:t>万元，占</w:t>
      </w:r>
      <w:r>
        <w:rPr>
          <w:rFonts w:ascii="仿宋" w:hAnsi="仿宋" w:eastAsia="仿宋" w:cs="仿宋"/>
        </w:rPr>
        <w:t>39.65%</w:t>
      </w:r>
      <w:r>
        <w:rPr>
          <w:rFonts w:hint="eastAsia" w:ascii="仿宋" w:hAnsi="仿宋" w:eastAsia="仿宋" w:cs="仿宋"/>
        </w:rPr>
        <w:t>；公务用车购置及运行维护费支出决算</w:t>
      </w:r>
      <w:r>
        <w:rPr>
          <w:rFonts w:ascii="仿宋" w:hAnsi="仿宋" w:eastAsia="仿宋" w:cs="仿宋"/>
        </w:rPr>
        <w:t>2.39</w:t>
      </w:r>
      <w:r>
        <w:rPr>
          <w:rFonts w:hint="eastAsia" w:ascii="仿宋" w:hAnsi="仿宋" w:eastAsia="仿宋" w:cs="仿宋"/>
        </w:rPr>
        <w:t>万元，占</w:t>
      </w:r>
      <w:r>
        <w:rPr>
          <w:rFonts w:ascii="仿宋" w:hAnsi="仿宋" w:eastAsia="仿宋" w:cs="仿宋"/>
        </w:rPr>
        <w:t>60.35%</w:t>
      </w:r>
      <w:r>
        <w:rPr>
          <w:rFonts w:hint="eastAsia" w:ascii="仿宋" w:hAnsi="仿宋" w:eastAsia="仿宋" w:cs="仿宋"/>
        </w:rPr>
        <w:t>。具体情况如下：</w:t>
      </w:r>
    </w:p>
    <w:p>
      <w:pPr>
        <w:ind w:firstLine="628"/>
        <w:rPr>
          <w:rFonts w:ascii="仿宋" w:hAnsi="仿宋" w:eastAsia="仿宋"/>
        </w:rPr>
      </w:pPr>
      <w:r>
        <w:rPr>
          <w:rFonts w:ascii="仿宋" w:hAnsi="仿宋" w:eastAsia="仿宋" w:cs="仿宋"/>
          <w:b/>
          <w:bCs/>
        </w:rPr>
        <w:t>1.</w:t>
      </w:r>
      <w:r>
        <w:rPr>
          <w:rFonts w:hint="eastAsia" w:ascii="仿宋" w:hAnsi="仿宋" w:eastAsia="仿宋" w:cs="仿宋"/>
          <w:b/>
          <w:bCs/>
        </w:rPr>
        <w:t>因公出国（境）费支出</w:t>
      </w:r>
      <w:r>
        <w:rPr>
          <w:rFonts w:ascii="仿宋" w:hAnsi="仿宋" w:eastAsia="仿宋" w:cs="仿宋"/>
        </w:rPr>
        <w:t>0</w:t>
      </w:r>
      <w:r>
        <w:rPr>
          <w:rFonts w:hint="eastAsia" w:ascii="仿宋" w:hAnsi="仿宋" w:eastAsia="仿宋" w:cs="仿宋"/>
        </w:rPr>
        <w:t>万元，与</w:t>
      </w:r>
      <w:r>
        <w:rPr>
          <w:rFonts w:ascii="仿宋" w:hAnsi="仿宋" w:eastAsia="仿宋" w:cs="仿宋"/>
        </w:rPr>
        <w:t>2019</w:t>
      </w:r>
      <w:r>
        <w:rPr>
          <w:rFonts w:hint="eastAsia" w:ascii="仿宋" w:hAnsi="仿宋" w:eastAsia="仿宋" w:cs="仿宋"/>
        </w:rPr>
        <w:t>年度预算相比无变化。</w:t>
      </w:r>
      <w:r>
        <w:rPr>
          <w:rFonts w:ascii="仿宋" w:hAnsi="仿宋" w:eastAsia="仿宋" w:cs="仿宋"/>
        </w:rPr>
        <w:t>2019</w:t>
      </w:r>
      <w:r>
        <w:rPr>
          <w:rFonts w:hint="eastAsia" w:ascii="仿宋" w:hAnsi="仿宋" w:eastAsia="仿宋" w:cs="仿宋"/>
        </w:rPr>
        <w:t>年淮北市公共资源交易监督管理局因公出国（境）团组</w:t>
      </w:r>
      <w:r>
        <w:rPr>
          <w:rFonts w:ascii="仿宋" w:hAnsi="仿宋" w:eastAsia="仿宋" w:cs="仿宋"/>
        </w:rPr>
        <w:t>0</w:t>
      </w:r>
      <w:r>
        <w:rPr>
          <w:rFonts w:hint="eastAsia" w:ascii="仿宋" w:hAnsi="仿宋" w:eastAsia="仿宋" w:cs="仿宋"/>
        </w:rPr>
        <w:t>次，累计出国（境）</w:t>
      </w:r>
      <w:r>
        <w:rPr>
          <w:rFonts w:ascii="仿宋" w:hAnsi="仿宋" w:eastAsia="仿宋" w:cs="仿宋"/>
        </w:rPr>
        <w:t>0</w:t>
      </w:r>
      <w:r>
        <w:rPr>
          <w:rFonts w:hint="eastAsia" w:ascii="仿宋" w:hAnsi="仿宋" w:eastAsia="仿宋" w:cs="仿宋"/>
        </w:rPr>
        <w:t>人次。</w:t>
      </w:r>
    </w:p>
    <w:p>
      <w:pPr>
        <w:ind w:firstLine="628"/>
        <w:rPr>
          <w:rFonts w:ascii="仿宋" w:hAnsi="仿宋" w:eastAsia="仿宋"/>
        </w:rPr>
      </w:pPr>
      <w:r>
        <w:rPr>
          <w:rFonts w:ascii="仿宋" w:hAnsi="仿宋" w:eastAsia="仿宋" w:cs="仿宋"/>
          <w:b/>
          <w:bCs/>
        </w:rPr>
        <w:t>2.</w:t>
      </w:r>
      <w:r>
        <w:rPr>
          <w:rFonts w:hint="eastAsia" w:ascii="仿宋" w:hAnsi="仿宋" w:eastAsia="仿宋" w:cs="仿宋"/>
          <w:b/>
          <w:bCs/>
        </w:rPr>
        <w:t>公务接待费支出</w:t>
      </w:r>
      <w:r>
        <w:rPr>
          <w:rFonts w:ascii="仿宋" w:hAnsi="仿宋" w:eastAsia="仿宋" w:cs="仿宋"/>
        </w:rPr>
        <w:t>1.57</w:t>
      </w:r>
      <w:r>
        <w:rPr>
          <w:rFonts w:hint="eastAsia" w:ascii="仿宋" w:hAnsi="仿宋" w:eastAsia="仿宋" w:cs="仿宋"/>
        </w:rPr>
        <w:t>万元（含其他支出</w:t>
      </w:r>
      <w:r>
        <w:rPr>
          <w:rFonts w:ascii="仿宋" w:hAnsi="仿宋" w:eastAsia="仿宋" w:cs="仿宋"/>
        </w:rPr>
        <w:t>8700</w:t>
      </w:r>
      <w:r>
        <w:rPr>
          <w:rFonts w:hint="eastAsia" w:ascii="仿宋" w:hAnsi="仿宋" w:eastAsia="仿宋" w:cs="仿宋"/>
        </w:rPr>
        <w:t>元）</w:t>
      </w:r>
      <w:r>
        <w:rPr>
          <w:rFonts w:ascii="仿宋" w:hAnsi="仿宋" w:eastAsia="仿宋" w:cs="仿宋"/>
        </w:rPr>
        <w:t xml:space="preserve">, </w:t>
      </w:r>
      <w:r>
        <w:rPr>
          <w:rFonts w:hint="eastAsia" w:ascii="仿宋" w:hAnsi="仿宋" w:eastAsia="仿宋" w:cs="仿宋"/>
        </w:rPr>
        <w:t>其中外事接待</w:t>
      </w:r>
      <w:r>
        <w:rPr>
          <w:rFonts w:ascii="仿宋" w:hAnsi="仿宋" w:eastAsia="仿宋" w:cs="仿宋"/>
        </w:rPr>
        <w:t>0</w:t>
      </w:r>
      <w:r>
        <w:rPr>
          <w:rFonts w:hint="eastAsia" w:ascii="仿宋" w:hAnsi="仿宋" w:eastAsia="仿宋" w:cs="仿宋"/>
        </w:rPr>
        <w:t>批次及外事接待</w:t>
      </w:r>
      <w:r>
        <w:rPr>
          <w:rFonts w:ascii="仿宋" w:hAnsi="仿宋" w:eastAsia="仿宋" w:cs="仿宋"/>
        </w:rPr>
        <w:t>0</w:t>
      </w:r>
      <w:r>
        <w:rPr>
          <w:rFonts w:hint="eastAsia" w:ascii="仿宋" w:hAnsi="仿宋" w:eastAsia="仿宋" w:cs="仿宋"/>
        </w:rPr>
        <w:t>人次</w:t>
      </w:r>
      <w:r>
        <w:rPr>
          <w:rFonts w:ascii="仿宋" w:hAnsi="仿宋" w:eastAsia="仿宋" w:cs="仿宋"/>
        </w:rPr>
        <w:t xml:space="preserve">, </w:t>
      </w:r>
      <w:r>
        <w:rPr>
          <w:rFonts w:hint="eastAsia" w:ascii="仿宋" w:hAnsi="仿宋" w:eastAsia="仿宋" w:cs="仿宋"/>
        </w:rPr>
        <w:t>与</w:t>
      </w:r>
      <w:r>
        <w:rPr>
          <w:rFonts w:ascii="仿宋" w:hAnsi="仿宋" w:eastAsia="仿宋" w:cs="仿宋"/>
        </w:rPr>
        <w:t>2019</w:t>
      </w:r>
      <w:r>
        <w:rPr>
          <w:rFonts w:hint="eastAsia" w:ascii="仿宋" w:hAnsi="仿宋" w:eastAsia="仿宋" w:cs="仿宋"/>
        </w:rPr>
        <w:t>年度预算相比，减少</w:t>
      </w:r>
      <w:r>
        <w:rPr>
          <w:rFonts w:ascii="仿宋" w:hAnsi="仿宋" w:eastAsia="仿宋" w:cs="仿宋"/>
        </w:rPr>
        <w:t>0.03</w:t>
      </w:r>
      <w:r>
        <w:rPr>
          <w:rFonts w:hint="eastAsia" w:ascii="仿宋" w:hAnsi="仿宋" w:eastAsia="仿宋" w:cs="仿宋"/>
        </w:rPr>
        <w:t>万元，下降</w:t>
      </w:r>
      <w:r>
        <w:rPr>
          <w:rFonts w:ascii="仿宋" w:hAnsi="仿宋" w:eastAsia="仿宋" w:cs="仿宋"/>
        </w:rPr>
        <w:t>2%</w:t>
      </w:r>
      <w:r>
        <w:rPr>
          <w:rFonts w:hint="eastAsia" w:ascii="仿宋" w:hAnsi="仿宋" w:eastAsia="仿宋" w:cs="仿宋"/>
        </w:rPr>
        <w:t>，下降的原因是公务接待减少。</w:t>
      </w:r>
      <w:r>
        <w:rPr>
          <w:rFonts w:ascii="仿宋" w:hAnsi="仿宋" w:eastAsia="仿宋" w:cs="仿宋"/>
        </w:rPr>
        <w:t>2019</w:t>
      </w:r>
      <w:r>
        <w:rPr>
          <w:rFonts w:hint="eastAsia" w:ascii="仿宋" w:hAnsi="仿宋" w:eastAsia="仿宋" w:cs="仿宋"/>
        </w:rPr>
        <w:t>年淮北市公共资源交易监督管理局国内公务接待共</w:t>
      </w:r>
      <w:r>
        <w:rPr>
          <w:rFonts w:ascii="仿宋" w:hAnsi="仿宋" w:eastAsia="仿宋" w:cs="仿宋"/>
        </w:rPr>
        <w:t>9</w:t>
      </w:r>
      <w:r>
        <w:rPr>
          <w:rFonts w:hint="eastAsia" w:ascii="仿宋" w:hAnsi="仿宋" w:eastAsia="仿宋" w:cs="仿宋"/>
        </w:rPr>
        <w:t>批次，</w:t>
      </w:r>
      <w:r>
        <w:rPr>
          <w:rFonts w:ascii="仿宋" w:hAnsi="仿宋" w:eastAsia="仿宋" w:cs="仿宋"/>
        </w:rPr>
        <w:t>51</w:t>
      </w:r>
      <w:r>
        <w:rPr>
          <w:rFonts w:hint="eastAsia" w:ascii="仿宋" w:hAnsi="仿宋" w:eastAsia="仿宋" w:cs="仿宋"/>
        </w:rPr>
        <w:t>人次。主要是用于接待招商引资、上级单位业务指导和工作调研等公务往来支出。经费使用严格贯彻党中央八项规定</w:t>
      </w:r>
      <w:bookmarkStart w:id="0" w:name="_GoBack"/>
      <w:bookmarkEnd w:id="0"/>
      <w:r>
        <w:rPr>
          <w:rFonts w:hint="eastAsia" w:ascii="仿宋" w:hAnsi="仿宋" w:eastAsia="仿宋" w:cs="仿宋"/>
        </w:rPr>
        <w:t>要求，严格执行《党政机关厉行节约反对浪费条例》、淮北市公务接待等相关规定。</w:t>
      </w:r>
    </w:p>
    <w:p>
      <w:pPr>
        <w:ind w:firstLine="643" w:firstLineChars="200"/>
        <w:rPr>
          <w:rFonts w:ascii="仿宋" w:hAnsi="仿宋" w:eastAsia="仿宋"/>
        </w:rPr>
      </w:pPr>
      <w:r>
        <w:rPr>
          <w:rFonts w:ascii="仿宋" w:hAnsi="仿宋" w:eastAsia="仿宋" w:cs="仿宋"/>
          <w:b/>
          <w:bCs/>
        </w:rPr>
        <w:t>3.</w:t>
      </w:r>
      <w:r>
        <w:rPr>
          <w:rFonts w:hint="eastAsia" w:ascii="仿宋" w:hAnsi="仿宋" w:eastAsia="仿宋" w:cs="仿宋"/>
          <w:b/>
          <w:bCs/>
        </w:rPr>
        <w:t>公务用车购置及运行维护费支出</w:t>
      </w:r>
      <w:r>
        <w:rPr>
          <w:rFonts w:ascii="仿宋" w:hAnsi="仿宋" w:eastAsia="仿宋" w:cs="仿宋"/>
        </w:rPr>
        <w:t>2.39</w:t>
      </w:r>
      <w:r>
        <w:rPr>
          <w:rFonts w:hint="eastAsia" w:ascii="仿宋" w:hAnsi="仿宋" w:eastAsia="仿宋" w:cs="仿宋"/>
        </w:rPr>
        <w:t>万元，与</w:t>
      </w:r>
      <w:r>
        <w:rPr>
          <w:rFonts w:ascii="仿宋" w:hAnsi="仿宋" w:eastAsia="仿宋" w:cs="仿宋"/>
        </w:rPr>
        <w:t>2019</w:t>
      </w:r>
      <w:r>
        <w:rPr>
          <w:rFonts w:hint="eastAsia" w:ascii="仿宋" w:hAnsi="仿宋" w:eastAsia="仿宋" w:cs="仿宋"/>
        </w:rPr>
        <w:t>年度预算相比，减少</w:t>
      </w:r>
      <w:r>
        <w:rPr>
          <w:rFonts w:ascii="仿宋" w:hAnsi="仿宋" w:eastAsia="仿宋" w:cs="仿宋"/>
        </w:rPr>
        <w:t>0.01</w:t>
      </w:r>
      <w:r>
        <w:rPr>
          <w:rFonts w:hint="eastAsia" w:ascii="仿宋" w:hAnsi="仿宋" w:eastAsia="仿宋" w:cs="仿宋"/>
        </w:rPr>
        <w:t>万元，下降</w:t>
      </w:r>
      <w:r>
        <w:rPr>
          <w:rFonts w:ascii="仿宋" w:hAnsi="仿宋" w:eastAsia="仿宋" w:cs="仿宋"/>
        </w:rPr>
        <w:t>0.4%</w:t>
      </w:r>
      <w:r>
        <w:rPr>
          <w:rFonts w:hint="eastAsia" w:ascii="仿宋" w:hAnsi="仿宋" w:eastAsia="仿宋" w:cs="仿宋"/>
        </w:rPr>
        <w:t>，下降的原因是公务出行减少。</w:t>
      </w:r>
      <w:r>
        <w:rPr>
          <w:rFonts w:ascii="仿宋" w:hAnsi="仿宋" w:eastAsia="仿宋" w:cs="仿宋"/>
        </w:rPr>
        <w:t>2019</w:t>
      </w:r>
      <w:r>
        <w:rPr>
          <w:rFonts w:hint="eastAsia" w:ascii="仿宋" w:hAnsi="仿宋" w:eastAsia="仿宋" w:cs="仿宋"/>
        </w:rPr>
        <w:t>年没有安排公务用车购置费，全部为公务用车运行维护费，包括车辆燃料费、维修费、过路过桥费、保险费等支出，主要用于公务出差。截至</w:t>
      </w:r>
      <w:r>
        <w:rPr>
          <w:rFonts w:ascii="仿宋" w:hAnsi="仿宋" w:eastAsia="仿宋" w:cs="仿宋"/>
        </w:rPr>
        <w:t>2019</w:t>
      </w:r>
      <w:r>
        <w:rPr>
          <w:rFonts w:hint="eastAsia" w:ascii="仿宋" w:hAnsi="仿宋" w:eastAsia="仿宋" w:cs="仿宋"/>
        </w:rPr>
        <w:t>年</w:t>
      </w:r>
      <w:r>
        <w:rPr>
          <w:rFonts w:ascii="仿宋" w:hAnsi="仿宋" w:eastAsia="仿宋" w:cs="仿宋"/>
        </w:rPr>
        <w:t>12</w:t>
      </w:r>
      <w:r>
        <w:rPr>
          <w:rFonts w:hint="eastAsia" w:ascii="仿宋" w:hAnsi="仿宋" w:eastAsia="仿宋" w:cs="仿宋"/>
        </w:rPr>
        <w:t>月</w:t>
      </w:r>
      <w:r>
        <w:rPr>
          <w:rFonts w:ascii="仿宋" w:hAnsi="仿宋" w:eastAsia="仿宋" w:cs="仿宋"/>
        </w:rPr>
        <w:t>31</w:t>
      </w:r>
      <w:r>
        <w:rPr>
          <w:rFonts w:hint="eastAsia" w:ascii="仿宋" w:hAnsi="仿宋" w:eastAsia="仿宋" w:cs="仿宋"/>
        </w:rPr>
        <w:t>日，淮北市公共资源交易监督管理局机关及所属单位开支财政拨款的公务用车保有量为</w:t>
      </w:r>
      <w:r>
        <w:rPr>
          <w:rFonts w:ascii="仿宋" w:hAnsi="仿宋" w:eastAsia="仿宋" w:cs="仿宋"/>
        </w:rPr>
        <w:t>1</w:t>
      </w:r>
      <w:r>
        <w:rPr>
          <w:rFonts w:hint="eastAsia" w:ascii="仿宋" w:hAnsi="仿宋" w:eastAsia="仿宋" w:cs="仿宋"/>
        </w:rPr>
        <w:t>辆。</w:t>
      </w:r>
    </w:p>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JjYzc1MTQ0YzdkZWVjNDZmZjBkZWRhMzkxMjU1NjQifQ=="/>
  </w:docVars>
  <w:rsids>
    <w:rsidRoot w:val="00D303BC"/>
    <w:rsid w:val="0003382C"/>
    <w:rsid w:val="000A2743"/>
    <w:rsid w:val="000B705F"/>
    <w:rsid w:val="0015181F"/>
    <w:rsid w:val="001A037C"/>
    <w:rsid w:val="00237214"/>
    <w:rsid w:val="002740F9"/>
    <w:rsid w:val="002F6DE8"/>
    <w:rsid w:val="0031726B"/>
    <w:rsid w:val="00326726"/>
    <w:rsid w:val="003547B8"/>
    <w:rsid w:val="003C7C40"/>
    <w:rsid w:val="004054D1"/>
    <w:rsid w:val="00424E9B"/>
    <w:rsid w:val="00437EC7"/>
    <w:rsid w:val="004B39CE"/>
    <w:rsid w:val="00604995"/>
    <w:rsid w:val="006C2650"/>
    <w:rsid w:val="006D4F2C"/>
    <w:rsid w:val="007152C2"/>
    <w:rsid w:val="00720C0D"/>
    <w:rsid w:val="0072394B"/>
    <w:rsid w:val="0073272E"/>
    <w:rsid w:val="007700F8"/>
    <w:rsid w:val="007F5EFD"/>
    <w:rsid w:val="00820DFE"/>
    <w:rsid w:val="008C09F4"/>
    <w:rsid w:val="008C239D"/>
    <w:rsid w:val="008C3F75"/>
    <w:rsid w:val="0096043F"/>
    <w:rsid w:val="0099641B"/>
    <w:rsid w:val="009D2B9A"/>
    <w:rsid w:val="00A075D4"/>
    <w:rsid w:val="00A21D50"/>
    <w:rsid w:val="00AA3A96"/>
    <w:rsid w:val="00AB0278"/>
    <w:rsid w:val="00B52585"/>
    <w:rsid w:val="00CD3B2C"/>
    <w:rsid w:val="00CE767E"/>
    <w:rsid w:val="00D2629D"/>
    <w:rsid w:val="00D303BC"/>
    <w:rsid w:val="00D740F6"/>
    <w:rsid w:val="00DF4B25"/>
    <w:rsid w:val="00E73D9B"/>
    <w:rsid w:val="00EC310E"/>
    <w:rsid w:val="00F402EC"/>
    <w:rsid w:val="00F61C8B"/>
    <w:rsid w:val="00F734C6"/>
    <w:rsid w:val="00F85994"/>
    <w:rsid w:val="00FC29F2"/>
    <w:rsid w:val="00FC49A6"/>
    <w:rsid w:val="00FE59C7"/>
    <w:rsid w:val="18456281"/>
    <w:rsid w:val="6B2E26C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rFonts w:ascii="Calibri" w:hAnsi="Calibri" w:eastAsia="宋体" w:cs="Calibri"/>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rFonts w:ascii="Calibri" w:hAnsi="Calibri" w:eastAsia="宋体" w:cs="Calibri"/>
      <w:sz w:val="18"/>
      <w:szCs w:val="18"/>
    </w:rPr>
  </w:style>
  <w:style w:type="character" w:customStyle="1" w:styleId="6">
    <w:name w:val="页眉 Char"/>
    <w:basedOn w:val="5"/>
    <w:link w:val="3"/>
    <w:semiHidden/>
    <w:qFormat/>
    <w:locked/>
    <w:uiPriority w:val="99"/>
    <w:rPr>
      <w:sz w:val="18"/>
      <w:szCs w:val="18"/>
    </w:rPr>
  </w:style>
  <w:style w:type="character" w:customStyle="1" w:styleId="7">
    <w:name w:val="页脚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846</Words>
  <Characters>948</Characters>
  <Lines>7</Lines>
  <Paragraphs>2</Paragraphs>
  <TotalTime>0</TotalTime>
  <ScaleCrop>false</ScaleCrop>
  <LinksUpToDate>false</LinksUpToDate>
  <CharactersWithSpaces>1051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2020-09-28T09:54:00Z</dcterms:created>
  <dc:creator>丁配泉</dc:creator>
  <cp:lastModifiedBy>潘雯</cp:lastModifiedBy>
  <cp:lastPrinted>2020-09-11T00:28:00Z</cp:lastPrinted>
  <dcterms:modified xsi:type="dcterms:W3CDTF">2022-11-24T08:15:57Z</dcterms:modified>
  <dc:title>淮北市XX局（委）2019年度一般公共预算财政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F84DC702A3C540C6827D11F617F3D53D</vt:lpwstr>
  </property>
</Properties>
</file>