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淮北市公共资源交易中心2022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一、2022年度一般公共预算财政拨款“三公”经费支出决算表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14.64</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7.41</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9</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5.78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5.64</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1.63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5.64</w:t>
            </w:r>
          </w:p>
        </w:tc>
        <w:tc>
          <w:tcPr>
            <w:tcW w:w="222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Cs w:val="21"/>
              </w:rPr>
            </w:pPr>
            <w:r>
              <w:rPr>
                <w:rFonts w:hint="eastAsia" w:ascii="宋体" w:hAnsi="宋体" w:cs="宋体"/>
                <w:kern w:val="0"/>
                <w:szCs w:val="21"/>
              </w:rPr>
              <w:t>1.63</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楷体_GB2312" w:hAnsi="仿宋"/>
          <w:szCs w:val="32"/>
        </w:rPr>
      </w:pPr>
      <w:r>
        <w:rPr>
          <w:rFonts w:hint="eastAsia" w:ascii="仿宋_GB2312" w:hAnsi="仿宋"/>
          <w:szCs w:val="32"/>
        </w:rPr>
        <w:t>淮北市公共资源交易中心2022年度一般公共预算财政拨款“三公”经费支出预算为14.64万元，支出决算为7.41万元，完成预算的50.6%，较上年减少7.03万元，下降48.7%。决算数小于预算数和上年数的主要原因是减少公务接待次数以及节约成本。</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szCs w:val="32"/>
        </w:rPr>
        <w:t>淮北市公共资源交易中心2022年度一般公共预算财政拨款“三公”经费支出决算中，因公出国（境）费支出决算0万元，占0%;公务接待费支出决算5.78万元，占78%；公务用车购置及运行维护费支出决算1.63万元，占22%。具体情况如下：</w:t>
      </w:r>
    </w:p>
    <w:p>
      <w:pPr>
        <w:ind w:firstLine="628" w:firstLineChars="200"/>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100%；决算数与预算数相同；较上年减少0万元，下降0%。原因是2021年度、2022年度均未安排因公出国（境）计划。故2022年淮北市公共资源交易中心因公出国（境）团组0次，出国（境）0人次。</w:t>
      </w:r>
    </w:p>
    <w:p>
      <w:pPr>
        <w:ind w:firstLine="628" w:firstLineChars="200"/>
        <w:rPr>
          <w:rFonts w:hint="eastAsia" w:ascii="楷体_GB2312" w:hAnsi="仿宋"/>
          <w:szCs w:val="32"/>
        </w:rPr>
      </w:pPr>
      <w:r>
        <w:rPr>
          <w:rFonts w:hint="eastAsia" w:ascii="仿宋_GB2312" w:hAnsi="仿宋"/>
          <w:b/>
          <w:bCs/>
          <w:szCs w:val="32"/>
        </w:rPr>
        <w:t>2.公务接待费</w:t>
      </w:r>
      <w:r>
        <w:rPr>
          <w:rFonts w:hint="eastAsia" w:ascii="仿宋_GB2312" w:hAnsi="仿宋"/>
          <w:szCs w:val="32"/>
        </w:rPr>
        <w:t>预算为9万元，支出决算为5.78万元，完成预算的64.2%；较上年减少3.22万元，下降35.8%。决算数小于预算数和上年数的主要原因是减少公务接待次数以及节约成本。</w:t>
      </w:r>
    </w:p>
    <w:p>
      <w:pPr>
        <w:ind w:firstLine="628" w:firstLineChars="200"/>
        <w:rPr>
          <w:rFonts w:hint="eastAsia" w:ascii="仿宋_GB2312" w:hAnsi="仿宋"/>
          <w:szCs w:val="32"/>
        </w:rPr>
      </w:pPr>
      <w:r>
        <w:rPr>
          <w:rFonts w:hint="eastAsia" w:ascii="仿宋_GB2312" w:hAnsi="仿宋"/>
          <w:szCs w:val="32"/>
        </w:rPr>
        <w:t>2022年淮北市公共资源交易中心国内公务接待共234批次（其中外事接待0批次），1870人次（其中外事接待0人次）。主要是用于评审勘察专家就餐费。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楷体_GB2312" w:hAnsi="仿宋"/>
          <w:szCs w:val="32"/>
        </w:rPr>
      </w:pPr>
      <w:r>
        <w:rPr>
          <w:rFonts w:hint="eastAsia" w:ascii="仿宋_GB2312" w:hAnsi="仿宋"/>
          <w:b/>
          <w:bCs/>
          <w:szCs w:val="32"/>
        </w:rPr>
        <w:t>3.公务用车购置及运行维护费</w:t>
      </w:r>
      <w:r>
        <w:rPr>
          <w:rFonts w:hint="eastAsia" w:ascii="仿宋_GB2312" w:hAnsi="仿宋"/>
          <w:szCs w:val="32"/>
        </w:rPr>
        <w:t>预算为5.64万元，支出决算为  1.63万元，完成预算的28.9%；较上年减少3.81万元，下降70.0%。决算数小于预算数和上年数的主要原因是节约成本。</w:t>
      </w:r>
    </w:p>
    <w:p>
      <w:pPr>
        <w:ind w:firstLine="628" w:firstLineChars="200"/>
        <w:rPr>
          <w:rFonts w:hint="eastAsia" w:ascii="楷体_GB2312" w:hAnsi="仿宋"/>
          <w:szCs w:val="32"/>
        </w:rPr>
      </w:pPr>
      <w:r>
        <w:rPr>
          <w:rFonts w:hint="eastAsia" w:ascii="仿宋_GB2312" w:hAnsi="仿宋"/>
          <w:szCs w:val="32"/>
        </w:rPr>
        <w:t>其中，</w:t>
      </w:r>
      <w:r>
        <w:rPr>
          <w:rFonts w:hint="eastAsia" w:ascii="楷体_GB2312" w:hAnsi="仿宋" w:eastAsia="楷体_GB2312"/>
          <w:szCs w:val="32"/>
        </w:rPr>
        <w:t xml:space="preserve"> 2022年没有安排公务用车购置费。</w:t>
      </w:r>
      <w:r>
        <w:rPr>
          <w:rFonts w:hint="eastAsia" w:ascii="仿宋_GB2312" w:hAnsi="仿宋"/>
          <w:szCs w:val="32"/>
        </w:rPr>
        <w:t>公务用车运行维护费预算为5.64万元，支出决算为1.63万元，完成预算的28.9%；较上年减少3.81万元，下降70.0%。决算数小于预算数和上年数的主要原因是节约成本。</w:t>
      </w:r>
    </w:p>
    <w:p>
      <w:pPr>
        <w:ind w:firstLine="628" w:firstLineChars="200"/>
        <w:rPr>
          <w:rFonts w:hint="eastAsia" w:ascii="仿宋_GB2312"/>
        </w:rPr>
      </w:pPr>
      <w:r>
        <w:rPr>
          <w:rFonts w:hint="eastAsia" w:ascii="仿宋_GB2312" w:hAnsi="仿宋"/>
          <w:szCs w:val="32"/>
        </w:rPr>
        <w:t>公务用车运行维护费，包括车辆燃料费、维修费、过路过桥费、保险费等支出，主要用于评审勘察。截至2022年12月31日，淮北市公共资源交易中心开支财政拨款的公务用车保有量为1辆。剩余三辆尚未办理资产处置手续。</w:t>
      </w:r>
    </w:p>
    <w:p>
      <w:pPr>
        <w:rPr>
          <w:rFonts w:hint="eastAsia" w:eastAsia="仿宋_GB2312"/>
          <w:lang w:eastAsia="zh-CN"/>
        </w:rPr>
      </w:pPr>
      <w:bookmarkStart w:id="0" w:name="_GoBack"/>
      <w:bookmarkEnd w:id="0"/>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9</w:t>
    </w:r>
    <w:r>
      <w:rPr>
        <w:rFonts w:hint="eastAsia" w:ascii="仿宋_GB2312"/>
        <w:sz w:val="28"/>
        <w:szCs w:val="28"/>
      </w:rPr>
      <w:fldChar w:fldCharType="end"/>
    </w:r>
    <w:r>
      <w:rPr>
        <w:rStyle w:val="6"/>
        <w:rFonts w:hint="eastAsia" w:ascii="仿宋_GB2312"/>
        <w:sz w:val="28"/>
        <w:szCs w:val="28"/>
      </w:rPr>
      <w:t>-</w:t>
    </w:r>
  </w:p>
  <w:p>
    <w:pPr>
      <w:pStyle w:val="2"/>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MDgzOWQ0YmM2ZWM3M2U5YmE1ZDJhMmFlZDU5MTQifQ=="/>
  </w:docVars>
  <w:rsids>
    <w:rsidRoot w:val="00CC1FFD"/>
    <w:rsid w:val="00912643"/>
    <w:rsid w:val="00CC1FFD"/>
    <w:rsid w:val="1A81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D27E5BC1-ECD1-48C4-BCB6-038B1BBE1CAC}">
  <ds:schemaRefs/>
</ds:datastoreItem>
</file>

<file path=customXml/itemProps2.xml><?xml version="1.0" encoding="utf-8"?>
<ds:datastoreItem xmlns:ds="http://schemas.openxmlformats.org/officeDocument/2006/customXml" ds:itemID="{B30B85E7-2CCF-4B83-BFC8-FCB829DF89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161</Words>
  <Characters>921</Characters>
  <Lines>7</Lines>
  <Paragraphs>2</Paragraphs>
  <TotalTime>0</TotalTime>
  <ScaleCrop>false</ScaleCrop>
  <LinksUpToDate>false</LinksUpToDate>
  <CharactersWithSpaces>1080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2022-07-27T08:55:00Z</dcterms:created>
  <dc:creator>NTKO</dc:creator>
  <cp:lastModifiedBy>小玄子</cp:lastModifiedBy>
  <dcterms:modified xsi:type="dcterms:W3CDTF">2023-09-27T01:04:06Z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818BC7384F434E41925EA59CC1A0517F_12</vt:lpwstr>
  </property>
</Properties>
</file>