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B4996">
      <w:pPr>
        <w:rPr>
          <w:rFonts w:ascii="黑体" w:hAnsi="黑体" w:eastAsia="黑体" w:cs="黑体"/>
          <w:bCs/>
          <w:szCs w:val="32"/>
        </w:rPr>
      </w:pPr>
    </w:p>
    <w:p w14:paraId="7D280A13">
      <w:pPr>
        <w:jc w:val="center"/>
        <w:rPr>
          <w:rFonts w:ascii="宋体" w:hAnsi="宋体"/>
          <w:b/>
          <w:sz w:val="36"/>
          <w:szCs w:val="36"/>
        </w:rPr>
      </w:pPr>
      <w:r>
        <w:rPr>
          <w:rFonts w:hint="eastAsia" w:ascii="宋体" w:hAnsi="宋体"/>
          <w:b/>
          <w:sz w:val="36"/>
          <w:szCs w:val="36"/>
        </w:rPr>
        <w:t>淮北市公共资源交易中心2023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7FBF4533">
      <w:pPr>
        <w:jc w:val="center"/>
        <w:rPr>
          <w:rFonts w:ascii="楷体_GB2312" w:eastAsia="楷体_GB2312"/>
          <w:szCs w:val="32"/>
        </w:rPr>
      </w:pPr>
    </w:p>
    <w:p w14:paraId="4C2DEE4A">
      <w:pPr>
        <w:rPr>
          <w:rFonts w:ascii="黑体" w:hAnsi="黑体" w:eastAsia="黑体"/>
          <w:szCs w:val="32"/>
        </w:rPr>
      </w:pPr>
      <w:r>
        <w:rPr>
          <w:rFonts w:hint="eastAsia" w:ascii="黑体" w:hAnsi="黑体" w:eastAsia="黑体"/>
          <w:szCs w:val="32"/>
        </w:rPr>
        <w:t xml:space="preserve">    一、2023年度一般公共预算财政拨款“三公”经费支出决算表</w:t>
      </w:r>
    </w:p>
    <w:p w14:paraId="3B7B0D84">
      <w:pPr>
        <w:rPr>
          <w:rFonts w:ascii="黑体" w:hAnsi="黑体" w:eastAsia="黑体"/>
          <w:szCs w:val="32"/>
        </w:rPr>
      </w:pPr>
      <w:r>
        <w:rPr>
          <w:rFonts w:hint="eastAsia" w:ascii="仿宋_GB2312" w:hAnsi="仿宋_GB2312" w:cs="仿宋_GB2312"/>
          <w:szCs w:val="32"/>
        </w:rPr>
        <w:t xml:space="preserve">                                          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3BC75A66">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43DE72D9">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32E2A20C">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5E2085A6">
            <w:pPr>
              <w:widowControl/>
              <w:jc w:val="center"/>
              <w:rPr>
                <w:rFonts w:ascii="宋体" w:hAnsi="宋体" w:cs="宋体"/>
                <w:b/>
                <w:bCs/>
                <w:kern w:val="0"/>
                <w:szCs w:val="21"/>
              </w:rPr>
            </w:pPr>
            <w:r>
              <w:rPr>
                <w:rFonts w:hint="eastAsia" w:ascii="宋体" w:hAnsi="宋体" w:cs="宋体"/>
                <w:b/>
                <w:bCs/>
                <w:kern w:val="0"/>
                <w:szCs w:val="21"/>
              </w:rPr>
              <w:t>决 算 数</w:t>
            </w:r>
          </w:p>
        </w:tc>
      </w:tr>
      <w:tr w14:paraId="6B878F5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CC16489">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295A1E62">
            <w:pPr>
              <w:widowControl/>
              <w:jc w:val="center"/>
              <w:rPr>
                <w:rFonts w:ascii="宋体" w:hAnsi="宋体" w:cs="宋体"/>
                <w:b/>
                <w:bCs/>
                <w:kern w:val="0"/>
                <w:szCs w:val="21"/>
              </w:rPr>
            </w:pPr>
            <w:r>
              <w:rPr>
                <w:rFonts w:hint="eastAsia" w:ascii="宋体" w:hAnsi="宋体" w:cs="宋体"/>
                <w:b/>
                <w:bCs/>
                <w:kern w:val="0"/>
                <w:szCs w:val="21"/>
              </w:rPr>
              <w:t>7.48</w:t>
            </w:r>
          </w:p>
        </w:tc>
        <w:tc>
          <w:tcPr>
            <w:tcW w:w="2220" w:type="dxa"/>
            <w:tcBorders>
              <w:top w:val="nil"/>
              <w:left w:val="nil"/>
              <w:bottom w:val="single" w:color="auto" w:sz="4" w:space="0"/>
              <w:right w:val="single" w:color="auto" w:sz="4" w:space="0"/>
            </w:tcBorders>
            <w:vAlign w:val="center"/>
          </w:tcPr>
          <w:p w14:paraId="0A8BAF10">
            <w:pPr>
              <w:widowControl/>
              <w:jc w:val="center"/>
              <w:rPr>
                <w:rFonts w:ascii="宋体" w:hAnsi="宋体" w:cs="宋体"/>
                <w:b/>
                <w:bCs/>
                <w:kern w:val="0"/>
                <w:szCs w:val="21"/>
              </w:rPr>
            </w:pPr>
            <w:r>
              <w:rPr>
                <w:rFonts w:hint="eastAsia" w:ascii="宋体" w:hAnsi="宋体" w:cs="宋体"/>
                <w:b/>
                <w:bCs/>
                <w:kern w:val="0"/>
                <w:szCs w:val="21"/>
              </w:rPr>
              <w:t>7.48　</w:t>
            </w:r>
          </w:p>
        </w:tc>
      </w:tr>
      <w:tr w14:paraId="39EE586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BF9777A">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5EE7AC6F">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14:paraId="235205A6">
            <w:pPr>
              <w:widowControl/>
              <w:jc w:val="left"/>
              <w:rPr>
                <w:rFonts w:ascii="宋体" w:hAnsi="宋体" w:cs="宋体"/>
                <w:kern w:val="0"/>
                <w:szCs w:val="21"/>
              </w:rPr>
            </w:pPr>
            <w:r>
              <w:rPr>
                <w:rFonts w:hint="eastAsia" w:ascii="宋体" w:hAnsi="宋体" w:cs="宋体"/>
                <w:kern w:val="0"/>
                <w:szCs w:val="21"/>
              </w:rPr>
              <w:t>0　</w:t>
            </w:r>
          </w:p>
        </w:tc>
      </w:tr>
      <w:tr w14:paraId="6611433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A63777A">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76082241">
            <w:pPr>
              <w:widowControl/>
              <w:jc w:val="left"/>
              <w:rPr>
                <w:rFonts w:ascii="宋体" w:hAnsi="宋体" w:cs="宋体"/>
                <w:kern w:val="0"/>
                <w:szCs w:val="21"/>
              </w:rPr>
            </w:pPr>
            <w:r>
              <w:rPr>
                <w:rFonts w:hint="eastAsia" w:ascii="宋体" w:hAnsi="宋体" w:cs="宋体"/>
                <w:kern w:val="0"/>
                <w:szCs w:val="21"/>
              </w:rPr>
              <w:t>　5.08</w:t>
            </w:r>
          </w:p>
        </w:tc>
        <w:tc>
          <w:tcPr>
            <w:tcW w:w="2220" w:type="dxa"/>
            <w:tcBorders>
              <w:top w:val="nil"/>
              <w:left w:val="nil"/>
              <w:bottom w:val="single" w:color="auto" w:sz="4" w:space="0"/>
              <w:right w:val="single" w:color="auto" w:sz="4" w:space="0"/>
            </w:tcBorders>
            <w:vAlign w:val="bottom"/>
          </w:tcPr>
          <w:p w14:paraId="2C978D25">
            <w:pPr>
              <w:widowControl/>
              <w:jc w:val="left"/>
              <w:rPr>
                <w:rFonts w:ascii="宋体" w:hAnsi="宋体" w:cs="宋体"/>
                <w:kern w:val="0"/>
                <w:szCs w:val="21"/>
              </w:rPr>
            </w:pPr>
            <w:r>
              <w:rPr>
                <w:rFonts w:hint="eastAsia" w:ascii="宋体" w:hAnsi="宋体" w:cs="宋体"/>
                <w:kern w:val="0"/>
                <w:szCs w:val="21"/>
              </w:rPr>
              <w:t>　5.08</w:t>
            </w:r>
          </w:p>
        </w:tc>
      </w:tr>
      <w:tr w14:paraId="0A08BDF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B16C52B">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454CB4DC">
            <w:pPr>
              <w:widowControl/>
              <w:jc w:val="left"/>
              <w:rPr>
                <w:rFonts w:ascii="宋体" w:hAnsi="宋体" w:cs="宋体"/>
                <w:kern w:val="0"/>
                <w:szCs w:val="21"/>
              </w:rPr>
            </w:pPr>
            <w:r>
              <w:rPr>
                <w:rFonts w:hint="eastAsia" w:ascii="宋体" w:hAnsi="宋体" w:cs="宋体"/>
                <w:kern w:val="0"/>
                <w:szCs w:val="21"/>
              </w:rPr>
              <w:t>　2.40</w:t>
            </w:r>
          </w:p>
        </w:tc>
        <w:tc>
          <w:tcPr>
            <w:tcW w:w="2220" w:type="dxa"/>
            <w:tcBorders>
              <w:top w:val="nil"/>
              <w:left w:val="nil"/>
              <w:bottom w:val="single" w:color="auto" w:sz="4" w:space="0"/>
              <w:right w:val="single" w:color="auto" w:sz="4" w:space="0"/>
            </w:tcBorders>
            <w:vAlign w:val="bottom"/>
          </w:tcPr>
          <w:p w14:paraId="0FBAEA8F">
            <w:pPr>
              <w:widowControl/>
              <w:jc w:val="left"/>
              <w:rPr>
                <w:rFonts w:ascii="宋体" w:hAnsi="宋体" w:cs="宋体"/>
                <w:kern w:val="0"/>
                <w:szCs w:val="21"/>
              </w:rPr>
            </w:pPr>
            <w:r>
              <w:rPr>
                <w:rFonts w:hint="eastAsia" w:ascii="宋体" w:hAnsi="宋体" w:cs="宋体"/>
                <w:kern w:val="0"/>
                <w:szCs w:val="21"/>
              </w:rPr>
              <w:t>　2.40</w:t>
            </w:r>
          </w:p>
        </w:tc>
      </w:tr>
      <w:tr w14:paraId="1E737E2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D24C49E">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7703B653">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14:paraId="756B099A">
            <w:pPr>
              <w:widowControl/>
              <w:jc w:val="left"/>
              <w:rPr>
                <w:rFonts w:ascii="宋体" w:hAnsi="宋体" w:cs="宋体"/>
                <w:kern w:val="0"/>
                <w:szCs w:val="21"/>
              </w:rPr>
            </w:pPr>
            <w:r>
              <w:rPr>
                <w:rFonts w:hint="eastAsia" w:ascii="宋体" w:hAnsi="宋体" w:cs="宋体"/>
                <w:kern w:val="0"/>
                <w:szCs w:val="21"/>
              </w:rPr>
              <w:t>　0</w:t>
            </w:r>
          </w:p>
        </w:tc>
      </w:tr>
      <w:tr w14:paraId="56832DB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C871809">
            <w:pPr>
              <w:widowControl/>
              <w:jc w:val="left"/>
              <w:rPr>
                <w:rFonts w:ascii="宋体" w:hAnsi="宋体" w:cs="宋体"/>
                <w:kern w:val="0"/>
                <w:szCs w:val="21"/>
              </w:rPr>
            </w:pPr>
            <w:r>
              <w:rPr>
                <w:rFonts w:hint="eastAsia" w:ascii="宋体" w:hAnsi="宋体" w:cs="宋体"/>
                <w:kern w:val="0"/>
                <w:szCs w:val="21"/>
              </w:rPr>
              <w:t xml:space="preserve">        公务用车运行维护费 </w:t>
            </w:r>
          </w:p>
        </w:tc>
        <w:tc>
          <w:tcPr>
            <w:tcW w:w="2157" w:type="dxa"/>
            <w:tcBorders>
              <w:top w:val="nil"/>
              <w:left w:val="nil"/>
              <w:bottom w:val="single" w:color="auto" w:sz="4" w:space="0"/>
              <w:right w:val="single" w:color="auto" w:sz="4" w:space="0"/>
            </w:tcBorders>
            <w:vAlign w:val="bottom"/>
          </w:tcPr>
          <w:p w14:paraId="35C84F8E">
            <w:pPr>
              <w:widowControl/>
              <w:jc w:val="left"/>
              <w:rPr>
                <w:rFonts w:ascii="宋体" w:hAnsi="宋体" w:cs="宋体"/>
                <w:kern w:val="0"/>
                <w:szCs w:val="21"/>
              </w:rPr>
            </w:pPr>
            <w:r>
              <w:rPr>
                <w:rFonts w:hint="eastAsia" w:ascii="宋体" w:hAnsi="宋体" w:cs="宋体"/>
                <w:kern w:val="0"/>
                <w:szCs w:val="21"/>
              </w:rPr>
              <w:t>　2.40</w:t>
            </w:r>
          </w:p>
        </w:tc>
        <w:tc>
          <w:tcPr>
            <w:tcW w:w="2220" w:type="dxa"/>
            <w:tcBorders>
              <w:top w:val="nil"/>
              <w:left w:val="nil"/>
              <w:bottom w:val="single" w:color="auto" w:sz="4" w:space="0"/>
              <w:right w:val="single" w:color="auto" w:sz="4" w:space="0"/>
            </w:tcBorders>
            <w:vAlign w:val="bottom"/>
          </w:tcPr>
          <w:p w14:paraId="734EAF94">
            <w:pPr>
              <w:widowControl/>
              <w:jc w:val="left"/>
              <w:rPr>
                <w:rFonts w:ascii="宋体" w:hAnsi="宋体" w:cs="宋体"/>
                <w:kern w:val="0"/>
                <w:szCs w:val="21"/>
              </w:rPr>
            </w:pPr>
            <w:r>
              <w:rPr>
                <w:rFonts w:hint="eastAsia" w:ascii="宋体" w:hAnsi="宋体" w:cs="宋体"/>
                <w:kern w:val="0"/>
                <w:szCs w:val="21"/>
              </w:rPr>
              <w:t>2.40　</w:t>
            </w:r>
          </w:p>
        </w:tc>
      </w:tr>
    </w:tbl>
    <w:p w14:paraId="747F3494">
      <w:pPr>
        <w:spacing w:line="300" w:lineRule="exact"/>
        <w:rPr>
          <w:rFonts w:ascii="仿宋_GB2312" w:hAnsi="仿宋"/>
          <w:sz w:val="21"/>
          <w:szCs w:val="21"/>
        </w:rPr>
      </w:pPr>
    </w:p>
    <w:p w14:paraId="1EC494DB">
      <w:pPr>
        <w:spacing w:line="300" w:lineRule="exact"/>
        <w:rPr>
          <w:rFonts w:ascii="黑体" w:hAnsi="黑体" w:eastAsia="黑体"/>
          <w:szCs w:val="32"/>
        </w:rPr>
      </w:pPr>
      <w:r>
        <w:rPr>
          <w:rFonts w:hint="eastAsia" w:ascii="仿宋_GB2312" w:hAnsi="仿宋"/>
          <w:sz w:val="21"/>
          <w:szCs w:val="21"/>
        </w:rPr>
        <w:t xml:space="preserve">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05D1DCC3">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6209C5EE">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0BCA70F1">
      <w:pPr>
        <w:ind w:firstLine="640" w:firstLineChars="200"/>
        <w:rPr>
          <w:rFonts w:ascii="仿宋_GB2312" w:hAnsi="仿宋"/>
          <w:b/>
          <w:bCs/>
          <w:szCs w:val="32"/>
        </w:rPr>
      </w:pPr>
      <w:r>
        <w:rPr>
          <w:rFonts w:hint="eastAsia" w:ascii="仿宋_GB2312" w:hAnsi="仿宋"/>
          <w:szCs w:val="32"/>
        </w:rPr>
        <w:t>淮北市公共资源交易中心2023年度一般公共预算财政拨款“三公”经费支出预算为7.48万元，支出决算为7.48万元，完成预算的100%，较上年减少0.07万元，下降0.94%。决算数较上年增加的主要原因是维修费增加。</w:t>
      </w:r>
    </w:p>
    <w:p w14:paraId="59E3A0DA">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37C2894B">
      <w:pPr>
        <w:ind w:firstLine="640" w:firstLineChars="200"/>
        <w:rPr>
          <w:rFonts w:ascii="仿宋_GB2312" w:hAnsi="仿宋"/>
          <w:szCs w:val="32"/>
        </w:rPr>
      </w:pPr>
      <w:r>
        <w:rPr>
          <w:rFonts w:hint="eastAsia" w:ascii="仿宋_GB2312" w:hAnsi="仿宋"/>
          <w:szCs w:val="32"/>
        </w:rPr>
        <w:t>淮北市公共资源交易中心2023年度一般公共预算财政拨款“三公”经费支出决算中，因公出国（境）费支出决算0万元，占0%;公务接待费支出决算5.08万元，占67.91%；公务用车购置及运行维护费支出决算2.40万元，占32.09%。具体情况如下：</w:t>
      </w:r>
    </w:p>
    <w:p w14:paraId="0C327D56">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完成预算的100%。决算数与预算数相同；较上年减少0万元，下降0%.原因是2022年度、2023年度均未安排因公出国（境）计划。故2023年淮北市公共资源交易中心因公出国（境）团组0次，累计出国（境）0人次。</w:t>
      </w:r>
    </w:p>
    <w:p w14:paraId="1649FB4C">
      <w:pPr>
        <w:ind w:firstLine="643"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预算为5.08万元，支出决算为5.08万元，完成预算的100%；较上年减少0.7万元，下降12.11%。决算数较上年减少的主要原因是减少公务接待次数及节约成本。2023年淮北市公共资源交易中心国内公务接待共230批</w:t>
      </w:r>
      <w:bookmarkStart w:id="0" w:name="_GoBack"/>
      <w:bookmarkEnd w:id="0"/>
      <w:r>
        <w:rPr>
          <w:rFonts w:hint="eastAsia" w:ascii="仿宋_GB2312" w:hAnsi="仿宋"/>
          <w:szCs w:val="32"/>
        </w:rPr>
        <w:t>次（其中外事接待0批次），1290人次（其中外事接待0人次）。主要是用于专家评审误餐费。经费使用贯彻</w:t>
      </w:r>
      <w:r>
        <w:rPr>
          <w:rFonts w:hint="eastAsia" w:ascii="仿宋_GB2312" w:hAnsi="仿宋"/>
          <w:szCs w:val="32"/>
          <w:lang w:val="en-US" w:eastAsia="zh-CN"/>
        </w:rPr>
        <w:t>落实</w:t>
      </w:r>
      <w:r>
        <w:rPr>
          <w:rFonts w:hint="eastAsia" w:ascii="仿宋_GB2312" w:hAnsi="仿宋"/>
          <w:szCs w:val="32"/>
        </w:rPr>
        <w:t>中央八项规定精神和省委实</w:t>
      </w:r>
      <w:r>
        <w:rPr>
          <w:rFonts w:hint="eastAsia" w:ascii="仿宋_GB2312" w:hAnsi="宋体" w:cs="宋体"/>
          <w:color w:val="282828"/>
          <w:kern w:val="0"/>
          <w:szCs w:val="32"/>
        </w:rPr>
        <w:t>施细则</w:t>
      </w:r>
      <w:r>
        <w:rPr>
          <w:rFonts w:hint="eastAsia" w:ascii="仿宋_GB2312" w:hAnsi="仿宋"/>
          <w:szCs w:val="32"/>
        </w:rPr>
        <w:t>，严格执行《党政机关厉行节约反对浪费条例》、《关于印发&lt;淮北市市直单位接待经费管理暂行办法&gt;的通知》（财行〔2013〕133号）、《淮北市财政局淮北市机关事务管理中心关于调整市直机关公务接待费用餐标准的通知》（财行〔2021〕85号）等相关规定。</w:t>
      </w:r>
    </w:p>
    <w:p w14:paraId="0BA655BD">
      <w:pPr>
        <w:ind w:firstLine="643" w:firstLineChars="200"/>
        <w:rPr>
          <w:rFonts w:ascii="仿宋_GB2312"/>
        </w:rPr>
      </w:pPr>
      <w:r>
        <w:rPr>
          <w:rFonts w:hint="eastAsia" w:ascii="仿宋_GB2312" w:hAnsi="仿宋"/>
          <w:b/>
          <w:bCs/>
          <w:szCs w:val="32"/>
        </w:rPr>
        <w:t>3.公务用车购置及运行维护费</w:t>
      </w:r>
      <w:r>
        <w:rPr>
          <w:rFonts w:hint="eastAsia" w:ascii="仿宋_GB2312" w:hAnsi="仿宋"/>
          <w:szCs w:val="32"/>
        </w:rPr>
        <w:t>预算为2.4万元，支出决算为 2.40万元，完成预算的100%；较上年增加0.77万元，增长47.24%。决算数较上年增加的主要原因是车辆维修维护费增加。其中，公务用车购置费预算为0万元，支出决算为0万元，完成预算的0%；</w:t>
      </w:r>
      <w:r>
        <w:rPr>
          <w:rFonts w:hint="eastAsia" w:ascii="楷体_GB2312" w:hAnsi="仿宋" w:eastAsia="楷体_GB2312"/>
          <w:szCs w:val="32"/>
        </w:rPr>
        <w:t xml:space="preserve"> 2023年没有安排公务用车购置费。</w:t>
      </w:r>
      <w:r>
        <w:rPr>
          <w:rFonts w:hint="eastAsia" w:ascii="仿宋_GB2312" w:hAnsi="仿宋"/>
          <w:szCs w:val="32"/>
        </w:rPr>
        <w:t>公务用车运行维护费预算为2.40万元，支出决算为2.40万元，完成预算的100%；较上年增加0.77万元，增长47.24%。决算数较上年增加的主要原因是车辆维修维护费增加。公务用车运行维护费，包括车辆燃料费、维修费、过路过桥费、保险费等支出，主要用于车辆维修。截至2023年12月31日，淮北市公共资源交易中心开支财政拨款的公务用车保有量为1辆。</w:t>
      </w:r>
    </w:p>
    <w:p w14:paraId="69C38D10">
      <w:pPr>
        <w:pStyle w:val="2"/>
        <w:ind w:left="1258" w:hanging="1258"/>
        <w:jc w:val="both"/>
        <w:rPr>
          <w:rFonts w:ascii="仿宋_GB2312" w:eastAsia="仿宋_GB2312"/>
          <w:sz w:val="32"/>
        </w:rPr>
      </w:pPr>
    </w:p>
    <w:p w14:paraId="22F86DEC">
      <w:pPr>
        <w:pStyle w:val="2"/>
        <w:ind w:left="1258" w:hanging="1258"/>
        <w:jc w:val="both"/>
        <w:rPr>
          <w:rFonts w:ascii="仿宋_GB2312" w:eastAsia="仿宋_GB2312"/>
          <w:sz w:val="32"/>
        </w:rPr>
      </w:pPr>
    </w:p>
    <w:p w14:paraId="35EC22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6E79"/>
    <w:rsid w:val="001D6E79"/>
    <w:rsid w:val="002626BE"/>
    <w:rsid w:val="002E69D8"/>
    <w:rsid w:val="002E784C"/>
    <w:rsid w:val="00316E79"/>
    <w:rsid w:val="005E30CC"/>
    <w:rsid w:val="00676AE9"/>
    <w:rsid w:val="00754AA2"/>
    <w:rsid w:val="00770F19"/>
    <w:rsid w:val="00782A85"/>
    <w:rsid w:val="008130A0"/>
    <w:rsid w:val="00826177"/>
    <w:rsid w:val="0083640D"/>
    <w:rsid w:val="008F1249"/>
    <w:rsid w:val="00A013FB"/>
    <w:rsid w:val="00B34816"/>
    <w:rsid w:val="00C21BFE"/>
    <w:rsid w:val="00C862DB"/>
    <w:rsid w:val="00DC4254"/>
    <w:rsid w:val="00ED47E9"/>
    <w:rsid w:val="00EF7C59"/>
    <w:rsid w:val="00F51C15"/>
    <w:rsid w:val="00FE0FBC"/>
    <w:rsid w:val="00FE43E2"/>
    <w:rsid w:val="62FC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iPriority w:val="0"/>
    <w:pPr>
      <w:jc w:val="center"/>
    </w:pPr>
    <w:rPr>
      <w:rFonts w:eastAsia="黑体"/>
      <w:sz w:val="36"/>
    </w:r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正文文本 Char"/>
    <w:basedOn w:val="6"/>
    <w:link w:val="2"/>
    <w:uiPriority w:val="0"/>
    <w:rPr>
      <w:rFonts w:ascii="Times New Roman" w:hAnsi="Times New Roman" w:eastAsia="黑体" w:cs="Times New Roman"/>
      <w:sz w:val="36"/>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1164</Words>
  <Characters>1329</Characters>
  <Lines>10</Lines>
  <Paragraphs>2</Paragraphs>
  <TotalTime>26</TotalTime>
  <ScaleCrop>false</ScaleCrop>
  <LinksUpToDate>false</LinksUpToDate>
  <CharactersWithSpaces>1450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2024-09-24T08:48:00Z</dcterms:created>
  <dc:creator>NTKO</dc:creator>
  <cp:lastModifiedBy>小玄子</cp:lastModifiedBy>
  <cp:lastPrinted>2024-09-25T08:36:00Z</cp:lastPrinted>
  <dcterms:modified xsi:type="dcterms:W3CDTF">2025-08-18T03:26:20Z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eyJoZGlkIjoiZjJiMDgzOWQ0YmM2ZWM3M2U5YmE1ZDJhMmFlZDU5MTQiLCJ1c2VySWQiOiI1NjEyMzgyMTIifQ==</vt:lpwstr>
  </property>
  <property fmtid="{D5CDD505-2E9C-101B-9397-08002B2CF9AE}" pid="3" name="KSOProductBuildVer">
    <vt:lpwstr>2052-12.1.0.21915</vt:lpwstr>
  </property>
  <property fmtid="{D5CDD505-2E9C-101B-9397-08002B2CF9AE}" pid="4" name="ICV">
    <vt:lpwstr>A8559635BAE84C6DB7CA92745412FF7C_12</vt:lpwstr>
  </property>
</Properties>
</file>