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left="-220" w:leftChars="-100" w:right="-220" w:rightChars="-100"/>
        <w:jc w:val="center"/>
        <w:rPr>
          <w:rFonts w:asciiTheme="minorEastAsia" w:hAnsiTheme="minorEastAsia" w:eastAsiaTheme="minorEastAsia" w:cstheme="minorEastAsia"/>
          <w:b/>
          <w:sz w:val="40"/>
          <w:szCs w:val="40"/>
          <w:lang w:val="en-US"/>
        </w:rPr>
      </w:pPr>
      <w:r>
        <w:rPr>
          <w:rFonts w:hint="eastAsia" w:asciiTheme="minorEastAsia" w:hAnsiTheme="minorEastAsia" w:eastAsiaTheme="minorEastAsia" w:cstheme="minorEastAsia"/>
          <w:b/>
          <w:sz w:val="40"/>
          <w:szCs w:val="40"/>
          <w:lang w:val="en-US"/>
        </w:rPr>
        <w:t xml:space="preserve"> </w:t>
      </w:r>
    </w:p>
    <w:p>
      <w:pPr>
        <w:pStyle w:val="5"/>
        <w:ind w:left="0"/>
        <w:jc w:val="center"/>
        <w:rPr>
          <w:sz w:val="48"/>
          <w:szCs w:val="48"/>
          <w:lang w:val="en-US"/>
        </w:rPr>
      </w:pPr>
      <w:r>
        <w:rPr>
          <w:rFonts w:hint="eastAsia"/>
          <w:sz w:val="48"/>
          <w:szCs w:val="48"/>
          <w:lang w:val="en-US"/>
        </w:rPr>
        <w:t>XXX工程</w:t>
      </w:r>
    </w:p>
    <w:p>
      <w:pPr>
        <w:pStyle w:val="5"/>
        <w:ind w:left="0"/>
        <w:jc w:val="center"/>
        <w:rPr>
          <w:sz w:val="56"/>
          <w:szCs w:val="56"/>
        </w:rPr>
      </w:pPr>
      <w:r>
        <w:rPr>
          <w:rFonts w:hint="eastAsia"/>
          <w:sz w:val="48"/>
          <w:szCs w:val="48"/>
          <w:lang w:val="en-US"/>
        </w:rPr>
        <w:t>设计施工总承包</w:t>
      </w:r>
      <w:r>
        <w:rPr>
          <w:rFonts w:hint="eastAsia"/>
          <w:sz w:val="48"/>
          <w:szCs w:val="48"/>
          <w:lang w:val="en-US" w:eastAsia="zh-CN"/>
        </w:rPr>
        <w:t>招标文件示范文本</w:t>
      </w:r>
    </w:p>
    <w:p>
      <w:pPr>
        <w:ind w:right="-50"/>
        <w:jc w:val="center"/>
        <w:rPr>
          <w:rFonts w:asciiTheme="minorEastAsia" w:hAnsiTheme="minorEastAsia" w:eastAsiaTheme="minorEastAsia" w:cstheme="minorEastAsia"/>
          <w:b/>
          <w:sz w:val="48"/>
          <w:szCs w:val="48"/>
        </w:rPr>
      </w:pPr>
    </w:p>
    <w:p>
      <w:pPr>
        <w:ind w:right="-50"/>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（评定分离）</w:t>
      </w:r>
    </w:p>
    <w:p>
      <w:pPr>
        <w:pStyle w:val="2"/>
        <w:rPr>
          <w:rFonts w:asciiTheme="minorEastAsia" w:hAnsiTheme="minorEastAsia" w:eastAsiaTheme="minorEastAsia" w:cstheme="minorEastAsia"/>
          <w:b/>
          <w:sz w:val="48"/>
          <w:szCs w:val="48"/>
        </w:rPr>
      </w:pPr>
    </w:p>
    <w:p>
      <w:pPr>
        <w:pStyle w:val="2"/>
        <w:rPr>
          <w:rFonts w:asciiTheme="minorEastAsia" w:hAnsiTheme="minorEastAsia" w:eastAsiaTheme="minorEastAsia" w:cstheme="minorEastAsia"/>
          <w:b/>
          <w:sz w:val="48"/>
          <w:szCs w:val="48"/>
        </w:rPr>
      </w:pPr>
    </w:p>
    <w:p>
      <w:pPr>
        <w:rPr>
          <w:rFonts w:asciiTheme="minorEastAsia" w:hAnsiTheme="minorEastAsia" w:eastAsiaTheme="minorEastAsia" w:cstheme="minorEastAsia"/>
          <w:b/>
          <w:sz w:val="48"/>
          <w:szCs w:val="48"/>
        </w:rPr>
      </w:pPr>
    </w:p>
    <w:p>
      <w:pPr>
        <w:pStyle w:val="2"/>
        <w:rPr>
          <w:rFonts w:asciiTheme="minorEastAsia" w:hAnsiTheme="minorEastAsia" w:eastAsiaTheme="minorEastAsia" w:cstheme="minorEastAsia"/>
          <w:b/>
          <w:sz w:val="48"/>
          <w:szCs w:val="48"/>
        </w:rPr>
      </w:pPr>
    </w:p>
    <w:p>
      <w:pPr/>
    </w:p>
    <w:p>
      <w:pPr>
        <w:ind w:right="-50"/>
        <w:jc w:val="both"/>
        <w:rPr>
          <w:rFonts w:asciiTheme="minorEastAsia" w:hAnsiTheme="minorEastAsia" w:eastAsiaTheme="minorEastAsia" w:cstheme="minorEastAsia"/>
          <w:b/>
          <w:sz w:val="48"/>
          <w:szCs w:val="48"/>
        </w:rPr>
      </w:pPr>
    </w:p>
    <w:p>
      <w:pPr>
        <w:ind w:right="-50"/>
        <w:jc w:val="center"/>
        <w:rPr>
          <w:rFonts w:asciiTheme="minorEastAsia" w:hAnsiTheme="minorEastAsia" w:eastAsiaTheme="minorEastAsia" w:cstheme="minorEastAsia"/>
          <w:b/>
          <w:sz w:val="30"/>
        </w:rPr>
      </w:pPr>
      <w:r>
        <w:rPr>
          <w:rFonts w:hint="eastAsia" w:asciiTheme="minorEastAsia" w:hAnsiTheme="minorEastAsia" w:eastAsiaTheme="minorEastAsia" w:cstheme="minorEastAsia"/>
          <w:b/>
          <w:sz w:val="48"/>
          <w:szCs w:val="48"/>
        </w:rPr>
        <w:t>招 标 文 件</w:t>
      </w:r>
    </w:p>
    <w:p>
      <w:pPr>
        <w:pStyle w:val="2"/>
        <w:rPr>
          <w:rFonts w:asciiTheme="minorEastAsia" w:hAnsiTheme="minorEastAsia" w:eastAsiaTheme="minorEastAsia" w:cstheme="minorEastAsia"/>
        </w:rPr>
      </w:pPr>
    </w:p>
    <w:p>
      <w:pPr>
        <w:ind w:left="664" w:right="996"/>
        <w:jc w:val="center"/>
        <w:rPr>
          <w:rFonts w:asciiTheme="minorEastAsia" w:hAnsiTheme="minorEastAsia" w:eastAsiaTheme="minorEastAsia" w:cstheme="minorEastAsia"/>
          <w:b/>
          <w:sz w:val="30"/>
          <w:lang w:val="en-US"/>
        </w:rPr>
      </w:pPr>
      <w:r>
        <w:rPr>
          <w:rFonts w:hint="eastAsia" w:asciiTheme="minorEastAsia" w:hAnsiTheme="minorEastAsia" w:eastAsiaTheme="minorEastAsia" w:cstheme="minorEastAsia"/>
          <w:b/>
          <w:sz w:val="30"/>
        </w:rPr>
        <w:t>招标编号：</w:t>
      </w:r>
      <w:r>
        <w:rPr>
          <w:rFonts w:hint="eastAsia" w:asciiTheme="minorEastAsia" w:hAnsiTheme="minorEastAsia" w:eastAsiaTheme="minorEastAsia" w:cstheme="minorEastAsia"/>
          <w:b/>
          <w:sz w:val="30"/>
          <w:u w:val="single"/>
          <w:lang w:val="en-US"/>
        </w:rPr>
        <w:t xml:space="preserve"> HBGC</w:t>
      </w:r>
      <w:r>
        <w:rPr>
          <w:rFonts w:asciiTheme="minorEastAsia" w:hAnsiTheme="minorEastAsia" w:eastAsiaTheme="minorEastAsia" w:cstheme="minorEastAsia"/>
          <w:b/>
          <w:sz w:val="30"/>
          <w:u w:val="single"/>
          <w:lang w:val="en-US"/>
        </w:rPr>
        <w:t xml:space="preserve">  </w:t>
      </w:r>
      <w:r>
        <w:rPr>
          <w:rFonts w:hint="eastAsia" w:asciiTheme="minorEastAsia" w:hAnsiTheme="minorEastAsia" w:eastAsiaTheme="minorEastAsia" w:cstheme="minorEastAsia"/>
          <w:b/>
          <w:sz w:val="30"/>
          <w:u w:val="single"/>
          <w:lang w:val="en-US"/>
        </w:rPr>
        <w:t xml:space="preserve"> </w:t>
      </w:r>
    </w:p>
    <w:p>
      <w:pPr>
        <w:pStyle w:val="16"/>
        <w:rPr>
          <w:rFonts w:asciiTheme="minorEastAsia" w:hAnsiTheme="minorEastAsia" w:eastAsiaTheme="minorEastAsia" w:cstheme="minorEastAsia"/>
          <w:b/>
          <w:sz w:val="20"/>
        </w:rPr>
      </w:pPr>
    </w:p>
    <w:p>
      <w:pPr>
        <w:pStyle w:val="16"/>
        <w:rPr>
          <w:rFonts w:asciiTheme="minorEastAsia" w:hAnsiTheme="minorEastAsia" w:eastAsiaTheme="minorEastAsia" w:cstheme="minorEastAsia"/>
          <w:b/>
          <w:sz w:val="20"/>
        </w:rPr>
      </w:pPr>
    </w:p>
    <w:p>
      <w:pPr>
        <w:pStyle w:val="16"/>
        <w:rPr>
          <w:rFonts w:asciiTheme="minorEastAsia" w:hAnsiTheme="minorEastAsia" w:eastAsiaTheme="minorEastAsia" w:cstheme="minorEastAsia"/>
          <w:b/>
          <w:sz w:val="20"/>
        </w:rPr>
      </w:pPr>
    </w:p>
    <w:p>
      <w:pPr>
        <w:pStyle w:val="16"/>
        <w:rPr>
          <w:rFonts w:asciiTheme="minorEastAsia" w:hAnsiTheme="minorEastAsia" w:eastAsiaTheme="minorEastAsia" w:cstheme="minorEastAsia"/>
          <w:b/>
          <w:sz w:val="20"/>
        </w:rPr>
      </w:pPr>
    </w:p>
    <w:p>
      <w:pPr>
        <w:pStyle w:val="16"/>
        <w:rPr>
          <w:rFonts w:asciiTheme="minorEastAsia" w:hAnsiTheme="minorEastAsia" w:eastAsiaTheme="minorEastAsia" w:cstheme="minorEastAsia"/>
          <w:b/>
          <w:sz w:val="20"/>
        </w:rPr>
      </w:pPr>
    </w:p>
    <w:p>
      <w:pPr>
        <w:pStyle w:val="16"/>
        <w:rPr>
          <w:rFonts w:asciiTheme="minorEastAsia" w:hAnsiTheme="minorEastAsia" w:eastAsiaTheme="minorEastAsia" w:cstheme="minorEastAsia"/>
          <w:b/>
          <w:sz w:val="20"/>
        </w:rPr>
      </w:pPr>
    </w:p>
    <w:p>
      <w:pPr>
        <w:spacing w:line="360" w:lineRule="auto"/>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招</w:t>
      </w:r>
      <w:r>
        <w:rPr>
          <w:rFonts w:hint="eastAsia" w:asciiTheme="minorEastAsia" w:hAnsiTheme="minorEastAsia" w:eastAsiaTheme="minorEastAsia" w:cstheme="minorEastAsia"/>
          <w:b/>
          <w:sz w:val="30"/>
          <w:szCs w:val="30"/>
          <w:lang w:val="en-US"/>
        </w:rPr>
        <w:t xml:space="preserve"> </w:t>
      </w:r>
      <w:r>
        <w:rPr>
          <w:rFonts w:hint="eastAsia" w:asciiTheme="minorEastAsia" w:hAnsiTheme="minorEastAsia" w:eastAsiaTheme="minorEastAsia" w:cstheme="minorEastAsia"/>
          <w:b/>
          <w:sz w:val="30"/>
          <w:szCs w:val="30"/>
        </w:rPr>
        <w:t>标 人：</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u w:val="single"/>
          <w:lang w:val="en-US"/>
        </w:rPr>
        <w:t xml:space="preserve">   XXX  </w:t>
      </w:r>
      <w:r>
        <w:rPr>
          <w:rFonts w:hint="eastAsia" w:asciiTheme="minorEastAsia" w:hAnsiTheme="minorEastAsia" w:eastAsiaTheme="minorEastAsia" w:cstheme="minorEastAsia"/>
          <w:b/>
          <w:sz w:val="30"/>
          <w:szCs w:val="30"/>
        </w:rPr>
        <w:t>（盖章）</w:t>
      </w:r>
    </w:p>
    <w:p>
      <w:pPr>
        <w:spacing w:line="360" w:lineRule="auto"/>
        <w:ind w:firstLine="602" w:firstLineChars="200"/>
        <w:jc w:val="center"/>
        <w:rPr>
          <w:rFonts w:asciiTheme="minorEastAsia" w:hAnsiTheme="minorEastAsia" w:eastAsiaTheme="minorEastAsia" w:cstheme="minorEastAsia"/>
          <w:b/>
          <w:sz w:val="30"/>
          <w:szCs w:val="30"/>
        </w:rPr>
      </w:pP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招标代理机构：</w:t>
      </w:r>
      <w:r>
        <w:rPr>
          <w:rFonts w:hint="eastAsia" w:asciiTheme="minorEastAsia" w:hAnsiTheme="minorEastAsia" w:eastAsiaTheme="minorEastAsia" w:cstheme="minorEastAsia"/>
          <w:b/>
          <w:sz w:val="30"/>
          <w:szCs w:val="30"/>
          <w:u w:val="single"/>
        </w:rPr>
        <w:t>XXX</w:t>
      </w:r>
      <w:r>
        <w:rPr>
          <w:rFonts w:hint="eastAsia" w:asciiTheme="minorEastAsia" w:hAnsiTheme="minorEastAsia" w:eastAsiaTheme="minorEastAsia" w:cstheme="minorEastAsia"/>
          <w:b/>
          <w:sz w:val="30"/>
          <w:szCs w:val="30"/>
        </w:rPr>
        <w:t>（盖章）</w:t>
      </w:r>
    </w:p>
    <w:p>
      <w:pPr>
        <w:pStyle w:val="16"/>
        <w:rPr>
          <w:rFonts w:asciiTheme="minorEastAsia" w:hAnsiTheme="minorEastAsia" w:eastAsiaTheme="minorEastAsia" w:cstheme="minorEastAsia"/>
          <w:b/>
          <w:sz w:val="20"/>
        </w:rPr>
      </w:pPr>
    </w:p>
    <w:p>
      <w:pPr>
        <w:pStyle w:val="16"/>
        <w:spacing w:before="5"/>
        <w:rPr>
          <w:rFonts w:asciiTheme="minorEastAsia" w:hAnsiTheme="minorEastAsia" w:eastAsiaTheme="minorEastAsia" w:cstheme="minorEastAsia"/>
          <w:b/>
        </w:rPr>
      </w:pPr>
    </w:p>
    <w:p>
      <w:pPr>
        <w:spacing w:before="62"/>
        <w:jc w:val="center"/>
        <w:rPr>
          <w:rFonts w:asciiTheme="minorEastAsia" w:hAnsiTheme="minorEastAsia" w:eastAsiaTheme="minorEastAsia" w:cstheme="minorEastAsia"/>
          <w:b/>
          <w:sz w:val="31"/>
        </w:rPr>
      </w:pPr>
      <w:r>
        <w:rPr>
          <w:rFonts w:hint="eastAsia" w:asciiTheme="minorEastAsia" w:hAnsiTheme="minorEastAsia" w:eastAsiaTheme="minorEastAsia" w:cstheme="minorEastAsia"/>
          <w:b/>
          <w:sz w:val="31"/>
        </w:rPr>
        <w:t>二〇  年</w:t>
      </w:r>
      <w:r>
        <w:rPr>
          <w:rFonts w:hint="eastAsia" w:asciiTheme="minorEastAsia" w:hAnsiTheme="minorEastAsia" w:eastAsiaTheme="minorEastAsia" w:cstheme="minorEastAsia"/>
          <w:b/>
          <w:sz w:val="31"/>
          <w:lang w:val="en-US"/>
        </w:rPr>
        <w:t xml:space="preserve">  月</w:t>
      </w:r>
    </w:p>
    <w:p>
      <w:pPr>
        <w:pStyle w:val="21"/>
        <w:ind w:left="440"/>
      </w:pPr>
    </w:p>
    <w:sdt>
      <w:sdtPr>
        <w:rPr>
          <w:rFonts w:ascii="宋体" w:hAnsi="宋体" w:eastAsia="宋体" w:cs="宋体"/>
          <w:color w:val="auto"/>
          <w:sz w:val="22"/>
          <w:szCs w:val="22"/>
          <w:lang w:val="zh-CN" w:bidi="zh-CN"/>
        </w:rPr>
        <w:id w:val="478340131"/>
      </w:sdtPr>
      <w:sdtEndPr>
        <w:rPr>
          <w:rFonts w:cs="宋体" w:asciiTheme="minorEastAsia" w:hAnsiTheme="minorEastAsia" w:eastAsiaTheme="minorEastAsia"/>
          <w:b/>
          <w:bCs/>
          <w:color w:val="auto"/>
          <w:sz w:val="24"/>
          <w:szCs w:val="24"/>
          <w:lang w:val="zh-CN" w:bidi="zh-CN"/>
        </w:rPr>
      </w:sdtEndPr>
      <w:sdtContent>
        <w:p>
          <w:pPr>
            <w:pStyle w:val="93"/>
            <w:spacing w:before="0" w:line="360" w:lineRule="auto"/>
            <w:jc w:val="center"/>
            <w:rPr>
              <w:b/>
              <w:color w:val="auto"/>
            </w:rPr>
          </w:pPr>
          <w:r>
            <w:rPr>
              <w:b/>
              <w:color w:val="auto"/>
              <w:lang w:val="zh-CN"/>
            </w:rPr>
            <w:t>目录</w:t>
          </w:r>
        </w:p>
        <w:p>
          <w:pPr>
            <w:pStyle w:val="25"/>
            <w:tabs>
              <w:tab w:val="right" w:leader="dot" w:pos="8304"/>
            </w:tabs>
            <w:ind w:left="0"/>
            <w:rPr>
              <w:rFonts w:ascii="宋体" w:hAnsi="宋体" w:eastAsia="宋体" w:cs="宋体"/>
              <w:sz w:val="22"/>
              <w:szCs w:val="22"/>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fldChar w:fldCharType="begin"/>
          </w:r>
          <w:r>
            <w:instrText xml:space="preserve"> HYPERLINK \l "_Toc11230" </w:instrText>
          </w:r>
          <w:r>
            <w:fldChar w:fldCharType="separate"/>
          </w:r>
          <w:r>
            <w:rPr>
              <w:rFonts w:hint="eastAsia" w:ascii="宋体" w:hAnsi="宋体" w:eastAsia="宋体" w:cs="宋体"/>
              <w:sz w:val="22"/>
              <w:szCs w:val="22"/>
            </w:rPr>
            <w:t>第一章 招标公告</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_Toc11230 \h </w:instrText>
          </w:r>
          <w:r>
            <w:rPr>
              <w:rFonts w:hint="eastAsia" w:ascii="宋体" w:hAnsi="宋体" w:eastAsia="宋体" w:cs="宋体"/>
              <w:sz w:val="22"/>
              <w:szCs w:val="22"/>
            </w:rPr>
            <w:fldChar w:fldCharType="separate"/>
          </w:r>
          <w:r>
            <w:rPr>
              <w:rFonts w:ascii="宋体" w:hAnsi="宋体" w:eastAsia="宋体" w:cs="宋体"/>
              <w:sz w:val="22"/>
              <w:szCs w:val="22"/>
            </w:rPr>
            <w:t>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rPr>
              <w:rFonts w:ascii="宋体" w:hAnsi="宋体" w:eastAsia="宋体" w:cs="宋体"/>
              <w:sz w:val="22"/>
              <w:szCs w:val="22"/>
            </w:rPr>
          </w:pPr>
          <w:r>
            <w:fldChar w:fldCharType="begin"/>
          </w:r>
          <w:r>
            <w:instrText xml:space="preserve"> HYPERLINK \l "_Toc14572" </w:instrText>
          </w:r>
          <w:r>
            <w:fldChar w:fldCharType="separate"/>
          </w:r>
          <w:r>
            <w:rPr>
              <w:rFonts w:hint="eastAsia" w:ascii="宋体" w:hAnsi="宋体" w:eastAsia="宋体" w:cs="宋体"/>
              <w:sz w:val="22"/>
              <w:szCs w:val="22"/>
            </w:rPr>
            <w:t>第二章 投标人须知前附表</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_Toc14572 \h </w:instrText>
          </w:r>
          <w:r>
            <w:rPr>
              <w:rFonts w:hint="eastAsia" w:ascii="宋体" w:hAnsi="宋体" w:eastAsia="宋体" w:cs="宋体"/>
              <w:sz w:val="22"/>
              <w:szCs w:val="22"/>
            </w:rPr>
            <w:fldChar w:fldCharType="separate"/>
          </w:r>
          <w:r>
            <w:rPr>
              <w:rFonts w:ascii="宋体" w:hAnsi="宋体" w:eastAsia="宋体" w:cs="宋体"/>
              <w:sz w:val="22"/>
              <w:szCs w:val="22"/>
            </w:rPr>
            <w:t>7</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rPr>
              <w:rFonts w:ascii="宋体" w:hAnsi="宋体" w:eastAsia="宋体" w:cs="宋体"/>
              <w:sz w:val="22"/>
              <w:szCs w:val="22"/>
            </w:rPr>
          </w:pPr>
          <w:r>
            <w:fldChar w:fldCharType="begin"/>
          </w:r>
          <w:r>
            <w:instrText xml:space="preserve"> HYPERLINK \l "_Toc3621" </w:instrText>
          </w:r>
          <w:r>
            <w:fldChar w:fldCharType="separate"/>
          </w:r>
          <w:r>
            <w:rPr>
              <w:rFonts w:hint="eastAsia" w:ascii="宋体" w:hAnsi="宋体" w:eastAsia="宋体" w:cs="宋体"/>
              <w:sz w:val="22"/>
              <w:szCs w:val="22"/>
            </w:rPr>
            <w:t>第三章 评标办法</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_Toc3621 \h </w:instrText>
          </w:r>
          <w:r>
            <w:rPr>
              <w:rFonts w:hint="eastAsia" w:ascii="宋体" w:hAnsi="宋体" w:eastAsia="宋体" w:cs="宋体"/>
              <w:sz w:val="22"/>
              <w:szCs w:val="22"/>
            </w:rPr>
            <w:fldChar w:fldCharType="separate"/>
          </w:r>
          <w:r>
            <w:rPr>
              <w:rFonts w:ascii="宋体" w:hAnsi="宋体" w:eastAsia="宋体" w:cs="宋体"/>
              <w:sz w:val="22"/>
              <w:szCs w:val="22"/>
            </w:rPr>
            <w:t>24</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rPr>
              <w:rFonts w:ascii="宋体" w:hAnsi="宋体" w:eastAsia="宋体" w:cs="宋体"/>
              <w:sz w:val="22"/>
              <w:szCs w:val="22"/>
            </w:rPr>
          </w:pPr>
          <w:r>
            <w:fldChar w:fldCharType="begin"/>
          </w:r>
          <w:r>
            <w:instrText xml:space="preserve"> HYPERLINK \l "_Toc13526" </w:instrText>
          </w:r>
          <w:r>
            <w:fldChar w:fldCharType="separate"/>
          </w:r>
          <w:r>
            <w:rPr>
              <w:rFonts w:hint="eastAsia" w:ascii="宋体" w:hAnsi="宋体" w:eastAsia="宋体" w:cs="宋体"/>
              <w:sz w:val="22"/>
              <w:szCs w:val="22"/>
            </w:rPr>
            <w:t>第四章 合同条款及格式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_Toc13526 \h </w:instrText>
          </w:r>
          <w:r>
            <w:rPr>
              <w:rFonts w:hint="eastAsia" w:ascii="宋体" w:hAnsi="宋体" w:eastAsia="宋体" w:cs="宋体"/>
              <w:sz w:val="22"/>
              <w:szCs w:val="22"/>
            </w:rPr>
            <w:fldChar w:fldCharType="separate"/>
          </w:r>
          <w:r>
            <w:rPr>
              <w:rFonts w:ascii="宋体" w:hAnsi="宋体" w:eastAsia="宋体" w:cs="宋体"/>
              <w:sz w:val="22"/>
              <w:szCs w:val="22"/>
            </w:rPr>
            <w:t>35</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rPr>
              <w:rFonts w:ascii="宋体" w:hAnsi="宋体" w:eastAsia="宋体" w:cs="宋体"/>
              <w:sz w:val="22"/>
              <w:szCs w:val="22"/>
            </w:rPr>
          </w:pPr>
          <w:r>
            <w:fldChar w:fldCharType="begin"/>
          </w:r>
          <w:r>
            <w:instrText xml:space="preserve"> HYPERLINK \l "_Toc22511" </w:instrText>
          </w:r>
          <w:r>
            <w:fldChar w:fldCharType="separate"/>
          </w:r>
          <w:r>
            <w:rPr>
              <w:rFonts w:hint="eastAsia" w:ascii="宋体" w:hAnsi="宋体" w:eastAsia="宋体" w:cs="宋体"/>
              <w:sz w:val="22"/>
              <w:szCs w:val="22"/>
            </w:rPr>
            <w:t>第五章 发包人要求</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_Toc22511 \h </w:instrText>
          </w:r>
          <w:r>
            <w:rPr>
              <w:rFonts w:hint="eastAsia" w:ascii="宋体" w:hAnsi="宋体" w:eastAsia="宋体" w:cs="宋体"/>
              <w:sz w:val="22"/>
              <w:szCs w:val="22"/>
            </w:rPr>
            <w:fldChar w:fldCharType="separate"/>
          </w:r>
          <w:r>
            <w:rPr>
              <w:rFonts w:ascii="宋体" w:hAnsi="宋体" w:eastAsia="宋体" w:cs="宋体"/>
              <w:sz w:val="22"/>
              <w:szCs w:val="22"/>
            </w:rPr>
            <w:t>122</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rPr>
              <w:rFonts w:ascii="宋体" w:hAnsi="宋体" w:eastAsia="宋体" w:cs="宋体"/>
              <w:sz w:val="22"/>
              <w:szCs w:val="22"/>
            </w:rPr>
          </w:pPr>
          <w:r>
            <w:fldChar w:fldCharType="begin"/>
          </w:r>
          <w:r>
            <w:instrText xml:space="preserve"> HYPERLINK \l "_Toc16196" </w:instrText>
          </w:r>
          <w:r>
            <w:fldChar w:fldCharType="separate"/>
          </w:r>
          <w:r>
            <w:rPr>
              <w:rFonts w:hint="eastAsia" w:ascii="宋体" w:hAnsi="宋体" w:eastAsia="宋体" w:cs="宋体"/>
              <w:sz w:val="22"/>
              <w:szCs w:val="22"/>
            </w:rPr>
            <w:t>第六章 投标文件格式</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_Toc16196 \h </w:instrText>
          </w:r>
          <w:r>
            <w:rPr>
              <w:rFonts w:hint="eastAsia" w:ascii="宋体" w:hAnsi="宋体" w:eastAsia="宋体" w:cs="宋体"/>
              <w:sz w:val="22"/>
              <w:szCs w:val="22"/>
            </w:rPr>
            <w:fldChar w:fldCharType="separate"/>
          </w:r>
          <w:r>
            <w:rPr>
              <w:rFonts w:ascii="宋体" w:hAnsi="宋体" w:eastAsia="宋体" w:cs="宋体"/>
              <w:sz w:val="22"/>
              <w:szCs w:val="22"/>
            </w:rPr>
            <w:t>123</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pStyle w:val="25"/>
            <w:tabs>
              <w:tab w:val="right" w:leader="dot" w:pos="8304"/>
            </w:tabs>
            <w:ind w:left="0"/>
          </w:pPr>
          <w:r>
            <w:fldChar w:fldCharType="begin"/>
          </w:r>
          <w:r>
            <w:instrText xml:space="preserve"> HYPERLINK \l "_Toc21947" </w:instrText>
          </w:r>
          <w:r>
            <w:fldChar w:fldCharType="separate"/>
          </w:r>
          <w:r>
            <w:rPr>
              <w:rFonts w:hint="eastAsia" w:ascii="宋体" w:hAnsi="宋体" w:eastAsia="宋体" w:cs="宋体"/>
              <w:sz w:val="22"/>
              <w:szCs w:val="22"/>
            </w:rPr>
            <w:t>第七章 招标人、招标代理机构、招投标监管部门对本招标文件的意见</w:t>
          </w:r>
          <w:r>
            <w:rPr>
              <w:rFonts w:hint="eastAsia" w:ascii="宋体" w:hAnsi="宋体" w:eastAsia="宋体" w:cs="宋体"/>
              <w:sz w:val="22"/>
              <w:szCs w:val="22"/>
            </w:rPr>
            <w:tab/>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PAGEREF _Toc21947 \h </w:instrText>
          </w:r>
          <w:r>
            <w:rPr>
              <w:rFonts w:hint="eastAsia" w:ascii="宋体" w:hAnsi="宋体" w:eastAsia="宋体" w:cs="宋体"/>
              <w:sz w:val="22"/>
              <w:szCs w:val="22"/>
            </w:rPr>
            <w:fldChar w:fldCharType="separate"/>
          </w:r>
          <w:r>
            <w:rPr>
              <w:rFonts w:ascii="宋体" w:hAnsi="宋体" w:eastAsia="宋体" w:cs="宋体"/>
              <w:sz w:val="22"/>
              <w:szCs w:val="22"/>
            </w:rPr>
            <w:t>141</w:t>
          </w:r>
          <w:r>
            <w:rPr>
              <w:rFonts w:hint="eastAsia" w:ascii="宋体" w:hAnsi="宋体" w:eastAsia="宋体" w:cs="宋体"/>
              <w:sz w:val="22"/>
              <w:szCs w:val="22"/>
            </w:rPr>
            <w:fldChar w:fldCharType="end"/>
          </w:r>
          <w:r>
            <w:rPr>
              <w:rFonts w:hint="eastAsia" w:ascii="宋体" w:hAnsi="宋体" w:eastAsia="宋体" w:cs="宋体"/>
              <w:sz w:val="22"/>
              <w:szCs w:val="22"/>
            </w:rPr>
            <w:fldChar w:fldCharType="end"/>
          </w:r>
        </w:p>
        <w:p>
          <w:pPr>
            <w:rPr>
              <w:rFonts w:asciiTheme="minorEastAsia" w:hAnsiTheme="minorEastAsia" w:eastAsiaTheme="minorEastAsia"/>
              <w:sz w:val="24"/>
              <w:szCs w:val="24"/>
            </w:rPr>
          </w:pPr>
          <w:r>
            <w:rPr>
              <w:rFonts w:asciiTheme="minorEastAsia" w:hAnsiTheme="minorEastAsia" w:eastAsiaTheme="minorEastAsia"/>
              <w:bCs/>
              <w:szCs w:val="24"/>
            </w:rPr>
            <w:fldChar w:fldCharType="end"/>
          </w:r>
        </w:p>
      </w:sdtContent>
    </w:sdt>
    <w:p>
      <w:pPr>
        <w:pStyle w:val="12"/>
        <w:ind w:firstLine="1680" w:firstLineChars="600"/>
        <w:rPr>
          <w:rFonts w:asciiTheme="minorEastAsia" w:hAnsiTheme="minorEastAsia" w:eastAsiaTheme="minorEastAsia" w:cstheme="minorEastAsia"/>
          <w:color w:val="auto"/>
          <w:sz w:val="28"/>
          <w:lang w:val="en-US"/>
        </w:rPr>
        <w:sectPr>
          <w:footerReference r:id="rId4" w:type="default"/>
          <w:pgSz w:w="11910" w:h="16850"/>
          <w:pgMar w:top="1440" w:right="1803" w:bottom="1440" w:left="1803" w:header="0" w:footer="1157" w:gutter="0"/>
          <w:pgNumType w:start="1"/>
          <w:cols w:space="720" w:num="1"/>
          <w:docGrid w:linePitch="299" w:charSpace="0"/>
        </w:sectPr>
      </w:pPr>
    </w:p>
    <w:p>
      <w:pPr>
        <w:pStyle w:val="5"/>
        <w:numPr>
          <w:ilvl w:val="0"/>
          <w:numId w:val="4"/>
        </w:numPr>
        <w:spacing w:before="0" w:line="360" w:lineRule="auto"/>
        <w:ind w:left="0"/>
        <w:jc w:val="center"/>
        <w:rPr>
          <w:rFonts w:asciiTheme="minorEastAsia" w:hAnsiTheme="minorEastAsia" w:eastAsiaTheme="minorEastAsia" w:cstheme="minorEastAsia"/>
          <w:sz w:val="32"/>
          <w:szCs w:val="32"/>
        </w:rPr>
      </w:pPr>
      <w:bookmarkStart w:id="0" w:name="第一章_招标公告"/>
      <w:bookmarkEnd w:id="0"/>
      <w:bookmarkStart w:id="1" w:name="_Toc11230"/>
      <w:bookmarkStart w:id="2" w:name="_Toc26734"/>
      <w:r>
        <w:rPr>
          <w:rFonts w:hint="eastAsia" w:asciiTheme="minorEastAsia" w:hAnsiTheme="minorEastAsia" w:eastAsiaTheme="minorEastAsia" w:cstheme="minorEastAsia"/>
          <w:sz w:val="32"/>
          <w:szCs w:val="32"/>
        </w:rPr>
        <w:t>招标公告</w:t>
      </w:r>
      <w:bookmarkEnd w:id="1"/>
      <w:bookmarkEnd w:id="2"/>
    </w:p>
    <w:p>
      <w:pPr>
        <w:adjustRightInd w:val="0"/>
        <w:snapToGrid w:val="0"/>
        <w:spacing w:line="572" w:lineRule="exact"/>
        <w:ind w:firstLine="482" w:firstLineChars="200"/>
        <w:jc w:val="center"/>
        <w:outlineLvl w:val="1"/>
        <w:rPr>
          <w:rFonts w:hint="eastAsia"/>
          <w:b/>
          <w:bCs/>
          <w:color w:val="000000"/>
          <w:sz w:val="24"/>
        </w:rPr>
      </w:pPr>
      <w:bookmarkStart w:id="3" w:name="第二章__投标人须知"/>
      <w:bookmarkEnd w:id="3"/>
      <w:bookmarkStart w:id="4" w:name="_Toc14572"/>
      <w:r>
        <w:rPr>
          <w:rFonts w:hint="eastAsia"/>
          <w:b/>
          <w:bCs/>
          <w:color w:val="000000"/>
          <w:sz w:val="24"/>
          <w:u w:val="single"/>
        </w:rPr>
        <w:t xml:space="preserve">                 </w:t>
      </w:r>
      <w:bookmarkStart w:id="5" w:name="_Toc32477"/>
      <w:bookmarkStart w:id="6" w:name="_Toc5952"/>
      <w:r>
        <w:rPr>
          <w:rFonts w:hint="eastAsia"/>
          <w:b/>
          <w:bCs/>
          <w:color w:val="000000"/>
          <w:sz w:val="24"/>
        </w:rPr>
        <w:t>（招标项目名称）招标公告（电子招标投标）</w:t>
      </w:r>
      <w:bookmarkEnd w:id="5"/>
      <w:bookmarkEnd w:id="6"/>
    </w:p>
    <w:p>
      <w:pPr>
        <w:pStyle w:val="2"/>
        <w:rPr>
          <w:rFonts w:hint="eastAsia" w:eastAsia="宋体"/>
          <w:lang w:val="en-US" w:eastAsia="zh-CN"/>
        </w:rPr>
      </w:pPr>
      <w:r>
        <w:rPr>
          <w:rFonts w:hint="eastAsia"/>
          <w:b/>
          <w:bCs/>
          <w:color w:val="000000"/>
          <w:sz w:val="24"/>
          <w:lang w:val="en-US" w:eastAsia="zh-CN"/>
        </w:rPr>
        <w:t xml:space="preserve">                 （评定分离）</w:t>
      </w:r>
    </w:p>
    <w:p>
      <w:pPr>
        <w:adjustRightInd w:val="0"/>
        <w:snapToGrid w:val="0"/>
        <w:spacing w:line="572" w:lineRule="exact"/>
        <w:outlineLvl w:val="1"/>
        <w:rPr>
          <w:b/>
          <w:bCs/>
          <w:color w:val="000000"/>
          <w:sz w:val="24"/>
        </w:rPr>
      </w:pPr>
      <w:bookmarkStart w:id="7" w:name="_Toc4775"/>
      <w:r>
        <w:rPr>
          <w:rFonts w:hint="eastAsia"/>
          <w:b/>
          <w:bCs/>
          <w:color w:val="000000"/>
          <w:sz w:val="24"/>
        </w:rPr>
        <w:t>1. 招标条件</w:t>
      </w:r>
      <w:bookmarkEnd w:id="7"/>
    </w:p>
    <w:p>
      <w:pPr>
        <w:adjustRightInd w:val="0"/>
        <w:snapToGrid w:val="0"/>
        <w:spacing w:line="572" w:lineRule="exact"/>
        <w:ind w:firstLine="437"/>
        <w:rPr>
          <w:color w:val="000000"/>
        </w:rPr>
      </w:pPr>
      <w:r>
        <w:rPr>
          <w:rFonts w:hint="eastAsia"/>
          <w:bCs/>
          <w:snapToGrid w:val="0"/>
          <w:color w:val="000000"/>
          <w:szCs w:val="21"/>
        </w:rPr>
        <w:t>1.1 项目名称：</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1.2 项目审批、核准或备案机关名称：</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1.3 批文名称及编号：</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u w:val="single"/>
        </w:rPr>
      </w:pPr>
      <w:r>
        <w:rPr>
          <w:rFonts w:hint="eastAsia"/>
          <w:bCs/>
          <w:snapToGrid w:val="0"/>
          <w:color w:val="000000"/>
          <w:szCs w:val="21"/>
        </w:rPr>
        <w:t>1.4 招标人：</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1.5 项目业主：</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1.6 资金来源：</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1.7 项目出资比例：</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color w:val="000000"/>
        </w:rPr>
        <w:t>1.8招标方式：</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color w:val="000000"/>
        </w:rPr>
        <w:t>1.9评标办法：</w:t>
      </w:r>
      <w:r>
        <w:rPr>
          <w:rFonts w:hint="eastAsia"/>
          <w:color w:val="000000"/>
          <w:u w:val="single"/>
        </w:rPr>
        <w:t xml:space="preserve">                             </w:t>
      </w:r>
      <w:r>
        <w:rPr>
          <w:rFonts w:hint="eastAsia"/>
          <w:color w:val="000000"/>
        </w:rPr>
        <w:t>；</w:t>
      </w:r>
    </w:p>
    <w:p>
      <w:pPr>
        <w:adjustRightInd w:val="0"/>
        <w:snapToGrid w:val="0"/>
        <w:spacing w:line="572" w:lineRule="exact"/>
        <w:outlineLvl w:val="1"/>
        <w:rPr>
          <w:b/>
          <w:bCs/>
          <w:color w:val="000000"/>
          <w:sz w:val="24"/>
        </w:rPr>
      </w:pPr>
      <w:bookmarkStart w:id="8" w:name="_Toc31450"/>
      <w:r>
        <w:rPr>
          <w:rFonts w:hint="eastAsia"/>
          <w:b/>
          <w:bCs/>
          <w:color w:val="000000"/>
          <w:sz w:val="24"/>
        </w:rPr>
        <w:t>2. 项目概况与招标范围</w:t>
      </w:r>
      <w:bookmarkEnd w:id="8"/>
    </w:p>
    <w:p>
      <w:pPr>
        <w:adjustRightInd w:val="0"/>
        <w:snapToGrid w:val="0"/>
        <w:spacing w:line="572" w:lineRule="exact"/>
        <w:ind w:firstLine="437"/>
        <w:rPr>
          <w:color w:val="000000"/>
          <w:u w:val="single"/>
        </w:rPr>
      </w:pPr>
      <w:r>
        <w:rPr>
          <w:rFonts w:hint="eastAsia"/>
          <w:bCs/>
          <w:snapToGrid w:val="0"/>
          <w:color w:val="000000"/>
          <w:szCs w:val="21"/>
        </w:rPr>
        <w:t>2.1 招标项目名称：</w:t>
      </w:r>
      <w:r>
        <w:rPr>
          <w:rFonts w:hint="eastAsia"/>
          <w:color w:val="000000"/>
          <w:u w:val="single"/>
        </w:rPr>
        <w:t xml:space="preserve">                         </w:t>
      </w:r>
      <w:r>
        <w:rPr>
          <w:rFonts w:hint="eastAsia"/>
          <w:color w:val="000000"/>
        </w:rPr>
        <w:t>；</w:t>
      </w:r>
    </w:p>
    <w:p>
      <w:pPr>
        <w:adjustRightInd w:val="0"/>
        <w:snapToGrid w:val="0"/>
        <w:spacing w:line="572" w:lineRule="exact"/>
        <w:ind w:firstLine="437"/>
        <w:rPr>
          <w:bCs/>
          <w:snapToGrid w:val="0"/>
          <w:color w:val="000000"/>
          <w:szCs w:val="21"/>
        </w:rPr>
      </w:pPr>
      <w:r>
        <w:rPr>
          <w:rFonts w:hint="eastAsia"/>
          <w:bCs/>
          <w:snapToGrid w:val="0"/>
          <w:color w:val="000000"/>
          <w:szCs w:val="21"/>
        </w:rPr>
        <w:t>2.2 招标项目编号：</w:t>
      </w:r>
      <w:r>
        <w:rPr>
          <w:rFonts w:hint="eastAsia"/>
          <w:color w:val="000000"/>
          <w:u w:val="single"/>
        </w:rPr>
        <w:t xml:space="preserve">                         </w:t>
      </w:r>
      <w:r>
        <w:rPr>
          <w:rFonts w:hint="eastAsia"/>
          <w:color w:val="000000"/>
        </w:rPr>
        <w:t>；</w:t>
      </w:r>
    </w:p>
    <w:p>
      <w:pPr>
        <w:adjustRightInd w:val="0"/>
        <w:snapToGrid w:val="0"/>
        <w:spacing w:line="572" w:lineRule="exact"/>
        <w:ind w:firstLine="437"/>
        <w:rPr>
          <w:bCs/>
          <w:snapToGrid w:val="0"/>
          <w:color w:val="000000"/>
          <w:szCs w:val="21"/>
        </w:rPr>
      </w:pPr>
      <w:r>
        <w:rPr>
          <w:rFonts w:hint="eastAsia"/>
          <w:bCs/>
          <w:snapToGrid w:val="0"/>
          <w:color w:val="000000"/>
          <w:szCs w:val="21"/>
        </w:rPr>
        <w:t>2.3 标段划分：</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u w:val="single"/>
        </w:rPr>
      </w:pPr>
      <w:r>
        <w:rPr>
          <w:rFonts w:hint="eastAsia"/>
          <w:bCs/>
          <w:snapToGrid w:val="0"/>
          <w:color w:val="000000"/>
          <w:szCs w:val="21"/>
        </w:rPr>
        <w:t>2.4 招标项目标段编号：</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2.5 建设地点：</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2.6 建设规模：</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2.7 合同估算价：</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2.8 计划工期</w:t>
      </w:r>
      <w:r>
        <w:rPr>
          <w:rStyle w:val="44"/>
          <w:rFonts w:hint="eastAsia" w:ascii="方正小标宋简体" w:hAnsi="方正小标宋简体" w:eastAsia="方正小标宋简体" w:cs="方正小标宋简体"/>
          <w:b/>
          <w:snapToGrid w:val="0"/>
          <w:color w:val="000000"/>
          <w:sz w:val="28"/>
          <w:szCs w:val="28"/>
        </w:rPr>
        <w:footnoteReference w:id="0"/>
      </w:r>
      <w:r>
        <w:rPr>
          <w:rFonts w:hint="eastAsia"/>
          <w:bCs/>
          <w:snapToGrid w:val="0"/>
          <w:color w:val="000000"/>
          <w:szCs w:val="21"/>
        </w:rPr>
        <w:t>：</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2.9 招标范围：</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2.10 项目类别：</w:t>
      </w:r>
      <w:r>
        <w:rPr>
          <w:rFonts w:hint="eastAsia"/>
          <w:color w:val="000000"/>
          <w:u w:val="single"/>
        </w:rPr>
        <w:t xml:space="preserve">                            </w:t>
      </w:r>
      <w:r>
        <w:rPr>
          <w:rFonts w:hint="eastAsia"/>
          <w:color w:val="000000"/>
        </w:rPr>
        <w:t>；</w:t>
      </w:r>
    </w:p>
    <w:p>
      <w:pPr>
        <w:adjustRightInd w:val="0"/>
        <w:snapToGrid w:val="0"/>
        <w:spacing w:line="572" w:lineRule="exact"/>
        <w:ind w:firstLine="437"/>
        <w:rPr>
          <w:color w:val="000000"/>
        </w:rPr>
      </w:pPr>
      <w:r>
        <w:rPr>
          <w:rFonts w:hint="eastAsia"/>
          <w:bCs/>
          <w:snapToGrid w:val="0"/>
          <w:color w:val="000000"/>
          <w:szCs w:val="21"/>
        </w:rPr>
        <w:t>2.11 其他：</w:t>
      </w:r>
      <w:r>
        <w:rPr>
          <w:rFonts w:hint="eastAsia"/>
          <w:color w:val="000000"/>
          <w:u w:val="single"/>
        </w:rPr>
        <w:t xml:space="preserve">                                </w:t>
      </w:r>
      <w:r>
        <w:rPr>
          <w:rFonts w:hint="eastAsia"/>
          <w:color w:val="000000"/>
        </w:rPr>
        <w:t>；</w:t>
      </w:r>
    </w:p>
    <w:p>
      <w:pPr>
        <w:adjustRightInd w:val="0"/>
        <w:snapToGrid w:val="0"/>
        <w:spacing w:line="572" w:lineRule="exact"/>
        <w:outlineLvl w:val="1"/>
        <w:rPr>
          <w:b/>
          <w:bCs/>
          <w:color w:val="000000"/>
          <w:sz w:val="24"/>
        </w:rPr>
      </w:pPr>
      <w:bookmarkStart w:id="9" w:name="_Toc10554"/>
      <w:r>
        <w:rPr>
          <w:rFonts w:hint="eastAsia"/>
          <w:b/>
          <w:bCs/>
          <w:color w:val="000000"/>
          <w:sz w:val="24"/>
        </w:rPr>
        <w:t>3. 投标人资格要求</w:t>
      </w:r>
      <w:r>
        <w:rPr>
          <w:rStyle w:val="44"/>
          <w:rFonts w:hint="eastAsia" w:ascii="方正小标宋简体" w:hAnsi="方正小标宋简体" w:eastAsia="方正小标宋简体" w:cs="方正小标宋简体"/>
          <w:b/>
          <w:snapToGrid w:val="0"/>
          <w:color w:val="000000"/>
          <w:sz w:val="28"/>
          <w:szCs w:val="28"/>
        </w:rPr>
        <w:footnoteReference w:id="1"/>
      </w:r>
      <w:r>
        <w:rPr>
          <w:rFonts w:hint="eastAsia"/>
          <w:b/>
          <w:bCs/>
          <w:color w:val="000000"/>
          <w:sz w:val="24"/>
        </w:rPr>
        <w:t xml:space="preserve">  </w:t>
      </w:r>
      <w:bookmarkEnd w:id="9"/>
    </w:p>
    <w:p>
      <w:pPr>
        <w:adjustRightInd w:val="0"/>
        <w:snapToGrid w:val="0"/>
        <w:spacing w:line="572" w:lineRule="exact"/>
        <w:ind w:firstLine="437"/>
        <w:rPr>
          <w:color w:val="000000"/>
        </w:rPr>
      </w:pPr>
      <w:r>
        <w:rPr>
          <w:rFonts w:hint="eastAsia"/>
          <w:bCs/>
          <w:snapToGrid w:val="0"/>
          <w:color w:val="000000"/>
          <w:szCs w:val="21"/>
        </w:rPr>
        <w:t>3.1 投标人资质要求：投标人须具备</w:t>
      </w:r>
      <w:r>
        <w:rPr>
          <w:rFonts w:hint="eastAsia"/>
          <w:color w:val="000000"/>
          <w:u w:val="single"/>
        </w:rPr>
        <w:t xml:space="preserve">       </w:t>
      </w:r>
      <w:r>
        <w:rPr>
          <w:rFonts w:hint="eastAsia"/>
          <w:bCs/>
          <w:snapToGrid w:val="0"/>
          <w:color w:val="000000"/>
          <w:szCs w:val="21"/>
        </w:rPr>
        <w:t>资质。</w:t>
      </w:r>
    </w:p>
    <w:p>
      <w:pPr>
        <w:adjustRightInd w:val="0"/>
        <w:snapToGrid w:val="0"/>
        <w:spacing w:line="572" w:lineRule="exact"/>
        <w:ind w:firstLine="437"/>
        <w:rPr>
          <w:bCs/>
          <w:snapToGrid w:val="0"/>
          <w:color w:val="000000"/>
          <w:szCs w:val="21"/>
        </w:rPr>
      </w:pPr>
      <w:r>
        <w:rPr>
          <w:rFonts w:hint="eastAsia"/>
          <w:bCs/>
          <w:snapToGrid w:val="0"/>
          <w:color w:val="000000"/>
          <w:szCs w:val="21"/>
        </w:rPr>
        <w:t>3.2 投标人业绩要求：自</w:t>
      </w:r>
      <w:r>
        <w:rPr>
          <w:rFonts w:hint="eastAsia"/>
          <w:bCs/>
          <w:snapToGrid w:val="0"/>
          <w:color w:val="000000"/>
          <w:szCs w:val="21"/>
          <w:u w:val="single"/>
        </w:rPr>
        <w:t xml:space="preserve">   </w:t>
      </w:r>
      <w:r>
        <w:rPr>
          <w:rFonts w:hint="eastAsia"/>
          <w:bCs/>
          <w:snapToGrid w:val="0"/>
          <w:color w:val="000000"/>
          <w:szCs w:val="21"/>
        </w:rPr>
        <w:t>年</w:t>
      </w:r>
      <w:r>
        <w:rPr>
          <w:rFonts w:hint="eastAsia"/>
          <w:bCs/>
          <w:snapToGrid w:val="0"/>
          <w:color w:val="000000"/>
          <w:szCs w:val="21"/>
          <w:u w:val="single"/>
        </w:rPr>
        <w:t xml:space="preserve">  </w:t>
      </w:r>
      <w:r>
        <w:rPr>
          <w:rFonts w:hint="eastAsia"/>
          <w:bCs/>
          <w:snapToGrid w:val="0"/>
          <w:color w:val="000000"/>
          <w:szCs w:val="21"/>
        </w:rPr>
        <w:t>月</w:t>
      </w:r>
      <w:r>
        <w:rPr>
          <w:rFonts w:hint="eastAsia"/>
          <w:bCs/>
          <w:snapToGrid w:val="0"/>
          <w:color w:val="000000"/>
          <w:szCs w:val="21"/>
          <w:u w:val="single"/>
        </w:rPr>
        <w:t xml:space="preserve">  </w:t>
      </w:r>
      <w:r>
        <w:rPr>
          <w:rFonts w:hint="eastAsia"/>
          <w:bCs/>
          <w:snapToGrid w:val="0"/>
          <w:color w:val="000000"/>
          <w:szCs w:val="21"/>
        </w:rPr>
        <w:t>日以来（以</w:t>
      </w:r>
      <w:r>
        <w:rPr>
          <w:rFonts w:hint="eastAsia"/>
          <w:bCs/>
          <w:snapToGrid w:val="0"/>
          <w:color w:val="000000"/>
          <w:szCs w:val="21"/>
          <w:u w:val="single"/>
        </w:rPr>
        <w:t xml:space="preserve">  </w:t>
      </w:r>
      <w:r>
        <w:rPr>
          <w:rFonts w:hint="eastAsia"/>
          <w:bCs/>
          <w:snapToGrid w:val="0"/>
          <w:color w:val="000000"/>
          <w:szCs w:val="21"/>
        </w:rPr>
        <w:t>为准），投标人须具备</w:t>
      </w:r>
      <w:r>
        <w:rPr>
          <w:rFonts w:hint="eastAsia"/>
          <w:bCs/>
          <w:snapToGrid w:val="0"/>
          <w:color w:val="000000"/>
          <w:szCs w:val="21"/>
          <w:u w:val="single"/>
        </w:rPr>
        <w:t xml:space="preserve">     </w:t>
      </w:r>
      <w:r>
        <w:rPr>
          <w:rFonts w:hint="eastAsia"/>
          <w:bCs/>
          <w:snapToGrid w:val="0"/>
          <w:color w:val="000000"/>
          <w:szCs w:val="21"/>
        </w:rPr>
        <w:t>业绩。</w:t>
      </w:r>
    </w:p>
    <w:p>
      <w:pPr>
        <w:widowControl/>
        <w:spacing w:line="576" w:lineRule="atLeast"/>
        <w:ind w:firstLine="440" w:firstLineChars="200"/>
        <w:rPr>
          <w:color w:val="000000"/>
        </w:rPr>
      </w:pPr>
      <w:r>
        <w:rPr>
          <w:rFonts w:hint="eastAsia"/>
          <w:bCs/>
          <w:snapToGrid w:val="0"/>
          <w:color w:val="000000"/>
          <w:szCs w:val="21"/>
        </w:rPr>
        <w:t>3.3 项目经理资格要求：投标人拟委任项目经理须具备</w:t>
      </w:r>
      <w:r>
        <w:rPr>
          <w:rFonts w:hint="eastAsia"/>
          <w:color w:val="000000"/>
          <w:u w:val="single"/>
        </w:rPr>
        <w:t xml:space="preserve">   （专业及级别）   </w:t>
      </w:r>
      <w:r>
        <w:rPr>
          <w:rFonts w:hint="eastAsia"/>
          <w:bCs/>
          <w:snapToGrid w:val="0"/>
          <w:color w:val="000000"/>
          <w:szCs w:val="21"/>
        </w:rPr>
        <w:t>注册建造师资格，具备有效的安全生产考核合格(B类)证书，且目前未在其他项目上任职或虽在其他项目上任职但本项目中标后能够从该项目撤离。</w:t>
      </w:r>
    </w:p>
    <w:p>
      <w:pPr>
        <w:adjustRightInd w:val="0"/>
        <w:snapToGrid w:val="0"/>
        <w:spacing w:line="572" w:lineRule="exact"/>
        <w:ind w:firstLine="437"/>
        <w:rPr>
          <w:bCs/>
          <w:snapToGrid w:val="0"/>
          <w:color w:val="000000"/>
          <w:szCs w:val="21"/>
        </w:rPr>
      </w:pPr>
      <w:r>
        <w:rPr>
          <w:rFonts w:hint="eastAsia"/>
          <w:bCs/>
          <w:snapToGrid w:val="0"/>
          <w:color w:val="000000"/>
          <w:szCs w:val="21"/>
        </w:rPr>
        <w:t>3.4  项目经理业绩要求：自</w:t>
      </w:r>
      <w:r>
        <w:rPr>
          <w:rFonts w:hint="eastAsia"/>
          <w:bCs/>
          <w:snapToGrid w:val="0"/>
          <w:color w:val="000000"/>
          <w:szCs w:val="21"/>
          <w:u w:val="single"/>
        </w:rPr>
        <w:t xml:space="preserve">   </w:t>
      </w:r>
      <w:r>
        <w:rPr>
          <w:rFonts w:hint="eastAsia"/>
          <w:bCs/>
          <w:snapToGrid w:val="0"/>
          <w:color w:val="000000"/>
          <w:szCs w:val="21"/>
        </w:rPr>
        <w:t>年</w:t>
      </w:r>
      <w:r>
        <w:rPr>
          <w:rFonts w:hint="eastAsia"/>
          <w:bCs/>
          <w:snapToGrid w:val="0"/>
          <w:color w:val="000000"/>
          <w:szCs w:val="21"/>
          <w:u w:val="single"/>
        </w:rPr>
        <w:t xml:space="preserve">  </w:t>
      </w:r>
      <w:r>
        <w:rPr>
          <w:rFonts w:hint="eastAsia"/>
          <w:bCs/>
          <w:snapToGrid w:val="0"/>
          <w:color w:val="000000"/>
          <w:szCs w:val="21"/>
        </w:rPr>
        <w:t>月</w:t>
      </w:r>
      <w:r>
        <w:rPr>
          <w:rFonts w:hint="eastAsia"/>
          <w:bCs/>
          <w:snapToGrid w:val="0"/>
          <w:color w:val="000000"/>
          <w:szCs w:val="21"/>
          <w:u w:val="single"/>
        </w:rPr>
        <w:t xml:space="preserve">  </w:t>
      </w:r>
      <w:r>
        <w:rPr>
          <w:rFonts w:hint="eastAsia"/>
          <w:bCs/>
          <w:snapToGrid w:val="0"/>
          <w:color w:val="000000"/>
          <w:szCs w:val="21"/>
        </w:rPr>
        <w:t>日以来（以</w:t>
      </w:r>
      <w:r>
        <w:rPr>
          <w:rFonts w:hint="eastAsia"/>
          <w:bCs/>
          <w:snapToGrid w:val="0"/>
          <w:color w:val="000000"/>
          <w:szCs w:val="21"/>
          <w:u w:val="single"/>
        </w:rPr>
        <w:t xml:space="preserve">  </w:t>
      </w:r>
      <w:r>
        <w:rPr>
          <w:rFonts w:hint="eastAsia"/>
          <w:bCs/>
          <w:snapToGrid w:val="0"/>
          <w:color w:val="000000"/>
          <w:szCs w:val="21"/>
        </w:rPr>
        <w:t>为准），投标人拟委任项目经理须具备</w:t>
      </w:r>
      <w:r>
        <w:rPr>
          <w:rFonts w:hint="eastAsia"/>
          <w:bCs/>
          <w:snapToGrid w:val="0"/>
          <w:color w:val="000000"/>
          <w:szCs w:val="21"/>
          <w:u w:val="single"/>
        </w:rPr>
        <w:t xml:space="preserve">     </w:t>
      </w:r>
      <w:r>
        <w:rPr>
          <w:rFonts w:hint="eastAsia"/>
          <w:bCs/>
          <w:snapToGrid w:val="0"/>
          <w:color w:val="000000"/>
          <w:szCs w:val="21"/>
        </w:rPr>
        <w:t>业绩。</w:t>
      </w:r>
    </w:p>
    <w:p>
      <w:pPr>
        <w:tabs>
          <w:tab w:val="center" w:pos="4470"/>
        </w:tabs>
        <w:adjustRightInd w:val="0"/>
        <w:snapToGrid w:val="0"/>
        <w:spacing w:line="572" w:lineRule="exact"/>
        <w:ind w:firstLine="437"/>
        <w:rPr>
          <w:bCs/>
          <w:snapToGrid w:val="0"/>
          <w:color w:val="000000"/>
          <w:szCs w:val="21"/>
        </w:rPr>
      </w:pPr>
      <w:r>
        <w:rPr>
          <w:rFonts w:hint="eastAsia"/>
          <w:bCs/>
          <w:snapToGrid w:val="0"/>
          <w:color w:val="000000"/>
          <w:szCs w:val="21"/>
        </w:rPr>
        <w:t>3.5 投标人财务要求：</w:t>
      </w:r>
      <w:r>
        <w:rPr>
          <w:rFonts w:hint="eastAsia"/>
          <w:bCs/>
          <w:snapToGrid w:val="0"/>
          <w:color w:val="000000"/>
          <w:szCs w:val="21"/>
          <w:u w:val="single"/>
        </w:rPr>
        <w:t xml:space="preserve">       </w:t>
      </w:r>
      <w:r>
        <w:rPr>
          <w:rFonts w:hint="eastAsia"/>
          <w:bCs/>
          <w:snapToGrid w:val="0"/>
          <w:color w:val="000000"/>
          <w:szCs w:val="21"/>
        </w:rPr>
        <w:t>。</w:t>
      </w:r>
      <w:r>
        <w:rPr>
          <w:rFonts w:hint="eastAsia"/>
          <w:bCs/>
          <w:snapToGrid w:val="0"/>
          <w:color w:val="000000"/>
          <w:szCs w:val="21"/>
        </w:rPr>
        <w:tab/>
      </w:r>
    </w:p>
    <w:p>
      <w:pPr>
        <w:adjustRightInd w:val="0"/>
        <w:snapToGrid w:val="0"/>
        <w:spacing w:line="572" w:lineRule="exact"/>
        <w:ind w:firstLine="437"/>
        <w:rPr>
          <w:bCs/>
          <w:snapToGrid w:val="0"/>
          <w:color w:val="000000"/>
          <w:szCs w:val="21"/>
        </w:rPr>
      </w:pPr>
      <w:r>
        <w:rPr>
          <w:rFonts w:hint="eastAsia"/>
          <w:bCs/>
          <w:snapToGrid w:val="0"/>
          <w:color w:val="000000"/>
          <w:szCs w:val="21"/>
        </w:rPr>
        <w:t xml:space="preserve">3.6 本次招标 </w:t>
      </w:r>
      <w:r>
        <w:rPr>
          <w:rFonts w:hint="eastAsia"/>
          <w:color w:val="000000"/>
          <w:u w:val="single"/>
        </w:rPr>
        <w:t xml:space="preserve">   </w:t>
      </w:r>
      <w:r>
        <w:rPr>
          <w:rFonts w:hint="eastAsia"/>
          <w:bCs/>
          <w:snapToGrid w:val="0"/>
          <w:color w:val="000000"/>
          <w:szCs w:val="21"/>
          <w:u w:val="single"/>
        </w:rPr>
        <w:t>(接受或不接受)</w:t>
      </w:r>
      <w:r>
        <w:rPr>
          <w:rFonts w:hint="eastAsia"/>
          <w:color w:val="000000"/>
          <w:u w:val="single"/>
        </w:rPr>
        <w:t xml:space="preserve">   </w:t>
      </w:r>
      <w:r>
        <w:rPr>
          <w:rFonts w:hint="eastAsia"/>
          <w:bCs/>
          <w:snapToGrid w:val="0"/>
          <w:color w:val="000000"/>
          <w:szCs w:val="21"/>
        </w:rPr>
        <w:t>联合体投标</w:t>
      </w:r>
      <w:r>
        <w:rPr>
          <w:rStyle w:val="44"/>
          <w:rFonts w:hint="eastAsia" w:ascii="方正小标宋简体" w:hAnsi="方正小标宋简体" w:eastAsia="方正小标宋简体" w:cs="方正小标宋简体"/>
          <w:b/>
          <w:snapToGrid w:val="0"/>
          <w:color w:val="000000"/>
          <w:sz w:val="28"/>
          <w:szCs w:val="28"/>
        </w:rPr>
        <w:footnoteReference w:id="2"/>
      </w:r>
      <w:r>
        <w:rPr>
          <w:rFonts w:hint="eastAsia"/>
          <w:bCs/>
          <w:snapToGrid w:val="0"/>
          <w:color w:val="000000"/>
          <w:szCs w:val="21"/>
        </w:rPr>
        <w:t>。</w:t>
      </w:r>
    </w:p>
    <w:p>
      <w:pPr>
        <w:adjustRightInd w:val="0"/>
        <w:snapToGrid w:val="0"/>
        <w:spacing w:line="572" w:lineRule="exact"/>
        <w:ind w:firstLine="895" w:firstLineChars="407"/>
        <w:rPr>
          <w:color w:val="000000"/>
        </w:rPr>
      </w:pPr>
      <w:r>
        <w:rPr>
          <w:rFonts w:hint="eastAsia"/>
          <w:bCs/>
          <w:snapToGrid w:val="0"/>
          <w:color w:val="000000"/>
          <w:szCs w:val="21"/>
        </w:rPr>
        <w:t>联合体投标的，应满足下列要求：</w:t>
      </w:r>
      <w:r>
        <w:rPr>
          <w:rFonts w:hint="eastAsia"/>
          <w:color w:val="000000"/>
          <w:u w:val="single"/>
        </w:rPr>
        <w:t xml:space="preserve">                    </w:t>
      </w:r>
      <w:r>
        <w:rPr>
          <w:rFonts w:hint="eastAsia"/>
          <w:color w:val="000000"/>
        </w:rPr>
        <w:t>。</w:t>
      </w:r>
    </w:p>
    <w:p>
      <w:pPr>
        <w:adjustRightInd w:val="0"/>
        <w:snapToGrid w:val="0"/>
        <w:spacing w:line="572" w:lineRule="exact"/>
        <w:ind w:firstLine="437"/>
        <w:rPr>
          <w:bCs/>
          <w:snapToGrid w:val="0"/>
          <w:color w:val="000000"/>
          <w:szCs w:val="21"/>
        </w:rPr>
      </w:pPr>
      <w:r>
        <w:rPr>
          <w:rFonts w:hint="eastAsia"/>
          <w:bCs/>
          <w:snapToGrid w:val="0"/>
          <w:color w:val="000000"/>
          <w:szCs w:val="21"/>
        </w:rPr>
        <w:t>3.7 各投标人均可就本招标项目上述标段中的</w:t>
      </w:r>
      <w:r>
        <w:rPr>
          <w:rFonts w:hint="eastAsia"/>
          <w:color w:val="000000"/>
          <w:u w:val="single"/>
        </w:rPr>
        <w:t xml:space="preserve">      </w:t>
      </w:r>
      <w:r>
        <w:rPr>
          <w:rFonts w:hint="eastAsia"/>
          <w:bCs/>
          <w:snapToGrid w:val="0"/>
          <w:color w:val="000000"/>
          <w:szCs w:val="21"/>
          <w:u w:val="single"/>
        </w:rPr>
        <w:t>(具体数量)</w:t>
      </w:r>
      <w:r>
        <w:rPr>
          <w:rFonts w:hint="eastAsia"/>
          <w:color w:val="000000"/>
          <w:u w:val="single"/>
        </w:rPr>
        <w:t xml:space="preserve">    </w:t>
      </w:r>
      <w:r>
        <w:rPr>
          <w:rFonts w:hint="eastAsia"/>
          <w:bCs/>
          <w:snapToGrid w:val="0"/>
          <w:color w:val="000000"/>
          <w:szCs w:val="21"/>
        </w:rPr>
        <w:t>个标段投标，但最多允许中标</w:t>
      </w:r>
      <w:r>
        <w:rPr>
          <w:rFonts w:hint="eastAsia"/>
          <w:color w:val="000000"/>
          <w:u w:val="single"/>
        </w:rPr>
        <w:t xml:space="preserve">     </w:t>
      </w:r>
      <w:r>
        <w:rPr>
          <w:rFonts w:hint="eastAsia"/>
          <w:bCs/>
          <w:snapToGrid w:val="0"/>
          <w:color w:val="000000"/>
          <w:szCs w:val="21"/>
          <w:u w:val="single"/>
        </w:rPr>
        <w:t>(具体数量)</w:t>
      </w:r>
      <w:r>
        <w:rPr>
          <w:rFonts w:hint="eastAsia"/>
          <w:color w:val="000000"/>
          <w:u w:val="single"/>
        </w:rPr>
        <w:t xml:space="preserve">  </w:t>
      </w:r>
      <w:r>
        <w:rPr>
          <w:rFonts w:hint="eastAsia"/>
          <w:color w:val="000000"/>
        </w:rPr>
        <w:t xml:space="preserve"> </w:t>
      </w:r>
      <w:r>
        <w:rPr>
          <w:rFonts w:hint="eastAsia"/>
          <w:bCs/>
          <w:snapToGrid w:val="0"/>
          <w:color w:val="000000"/>
          <w:szCs w:val="21"/>
        </w:rPr>
        <w:t>个标段(适用于分标段的招标项目)。</w:t>
      </w:r>
    </w:p>
    <w:p>
      <w:pPr>
        <w:adjustRightInd w:val="0"/>
        <w:snapToGrid w:val="0"/>
        <w:spacing w:line="572" w:lineRule="exact"/>
        <w:ind w:firstLine="437"/>
        <w:rPr>
          <w:bCs/>
          <w:snapToGrid w:val="0"/>
          <w:color w:val="000000"/>
          <w:szCs w:val="21"/>
        </w:rPr>
      </w:pPr>
      <w:r>
        <w:rPr>
          <w:rFonts w:hint="eastAsia"/>
          <w:bCs/>
          <w:snapToGrid w:val="0"/>
          <w:color w:val="000000"/>
          <w:szCs w:val="21"/>
        </w:rPr>
        <w:t>3.8其他要求：</w:t>
      </w:r>
      <w:r>
        <w:rPr>
          <w:rFonts w:hint="eastAsia"/>
          <w:color w:val="000000"/>
          <w:u w:val="single"/>
        </w:rPr>
        <w:t xml:space="preserve">                  </w:t>
      </w:r>
      <w:r>
        <w:rPr>
          <w:rFonts w:hint="eastAsia"/>
          <w:bCs/>
          <w:snapToGrid w:val="0"/>
          <w:color w:val="000000"/>
          <w:szCs w:val="21"/>
        </w:rPr>
        <w:t>。</w:t>
      </w:r>
    </w:p>
    <w:p>
      <w:pPr>
        <w:adjustRightInd w:val="0"/>
        <w:snapToGrid w:val="0"/>
        <w:spacing w:line="572" w:lineRule="exact"/>
        <w:outlineLvl w:val="1"/>
        <w:rPr>
          <w:color w:val="000000"/>
          <w:sz w:val="24"/>
        </w:rPr>
      </w:pPr>
      <w:bookmarkStart w:id="10" w:name="_Toc18080"/>
      <w:r>
        <w:rPr>
          <w:rFonts w:hint="eastAsia"/>
          <w:color w:val="000000"/>
          <w:sz w:val="24"/>
        </w:rPr>
        <w:t>4. 招标文件的获取</w:t>
      </w:r>
      <w:bookmarkEnd w:id="10"/>
    </w:p>
    <w:p>
      <w:pPr>
        <w:adjustRightInd w:val="0"/>
        <w:snapToGrid w:val="0"/>
        <w:spacing w:line="572" w:lineRule="exact"/>
        <w:ind w:firstLine="437"/>
        <w:outlineLvl w:val="2"/>
        <w:rPr>
          <w:bCs/>
          <w:snapToGrid w:val="0"/>
          <w:color w:val="000000"/>
          <w:szCs w:val="21"/>
        </w:rPr>
      </w:pPr>
      <w:r>
        <w:rPr>
          <w:rFonts w:hint="eastAsia"/>
          <w:bCs/>
          <w:snapToGrid w:val="0"/>
          <w:color w:val="000000"/>
          <w:szCs w:val="21"/>
        </w:rPr>
        <w:t>4.1 获取时间：</w:t>
      </w:r>
      <w:r>
        <w:rPr>
          <w:rFonts w:hint="eastAsia"/>
          <w:bCs/>
          <w:snapToGrid w:val="0"/>
          <w:color w:val="000000"/>
          <w:szCs w:val="21"/>
          <w:u w:val="single"/>
        </w:rPr>
        <w:t xml:space="preserve">    </w:t>
      </w:r>
      <w:r>
        <w:rPr>
          <w:rFonts w:hint="eastAsia"/>
          <w:bCs/>
          <w:snapToGrid w:val="0"/>
          <w:color w:val="000000"/>
          <w:szCs w:val="21"/>
        </w:rPr>
        <w:t>年</w:t>
      </w:r>
      <w:r>
        <w:rPr>
          <w:rFonts w:hint="eastAsia"/>
          <w:bCs/>
          <w:snapToGrid w:val="0"/>
          <w:color w:val="000000"/>
          <w:szCs w:val="21"/>
          <w:u w:val="single"/>
        </w:rPr>
        <w:t xml:space="preserve">   </w:t>
      </w:r>
      <w:r>
        <w:rPr>
          <w:rFonts w:hint="eastAsia"/>
          <w:bCs/>
          <w:snapToGrid w:val="0"/>
          <w:color w:val="000000"/>
          <w:szCs w:val="21"/>
        </w:rPr>
        <w:t>月</w:t>
      </w:r>
      <w:r>
        <w:rPr>
          <w:rFonts w:hint="eastAsia"/>
          <w:bCs/>
          <w:snapToGrid w:val="0"/>
          <w:color w:val="000000"/>
          <w:szCs w:val="21"/>
          <w:u w:val="single"/>
        </w:rPr>
        <w:t xml:space="preserve">   </w:t>
      </w:r>
      <w:r>
        <w:rPr>
          <w:rFonts w:hint="eastAsia"/>
          <w:bCs/>
          <w:snapToGrid w:val="0"/>
          <w:color w:val="000000"/>
          <w:szCs w:val="21"/>
        </w:rPr>
        <w:t>日</w:t>
      </w:r>
      <w:r>
        <w:rPr>
          <w:rFonts w:hint="eastAsia"/>
          <w:bCs/>
          <w:snapToGrid w:val="0"/>
          <w:color w:val="000000"/>
          <w:szCs w:val="21"/>
          <w:u w:val="single"/>
        </w:rPr>
        <w:t xml:space="preserve">   </w:t>
      </w:r>
      <w:r>
        <w:rPr>
          <w:rFonts w:hint="eastAsia"/>
          <w:bCs/>
          <w:snapToGrid w:val="0"/>
          <w:color w:val="000000"/>
          <w:szCs w:val="21"/>
        </w:rPr>
        <w:t>时</w:t>
      </w:r>
      <w:r>
        <w:rPr>
          <w:rFonts w:hint="eastAsia"/>
          <w:bCs/>
          <w:snapToGrid w:val="0"/>
          <w:color w:val="000000"/>
          <w:szCs w:val="21"/>
          <w:u w:val="single"/>
        </w:rPr>
        <w:t xml:space="preserve">    </w:t>
      </w:r>
      <w:r>
        <w:rPr>
          <w:rFonts w:hint="eastAsia"/>
          <w:bCs/>
          <w:snapToGrid w:val="0"/>
          <w:color w:val="000000"/>
          <w:szCs w:val="21"/>
        </w:rPr>
        <w:t>分至</w:t>
      </w:r>
      <w:r>
        <w:rPr>
          <w:rFonts w:hint="eastAsia"/>
          <w:bCs/>
          <w:snapToGrid w:val="0"/>
          <w:color w:val="000000"/>
          <w:szCs w:val="21"/>
          <w:u w:val="single"/>
        </w:rPr>
        <w:t xml:space="preserve">   </w:t>
      </w:r>
      <w:r>
        <w:rPr>
          <w:rFonts w:hint="eastAsia"/>
          <w:bCs/>
          <w:snapToGrid w:val="0"/>
          <w:color w:val="000000"/>
          <w:szCs w:val="21"/>
        </w:rPr>
        <w:t>年</w:t>
      </w:r>
      <w:r>
        <w:rPr>
          <w:rFonts w:hint="eastAsia"/>
          <w:bCs/>
          <w:snapToGrid w:val="0"/>
          <w:color w:val="000000"/>
          <w:szCs w:val="21"/>
          <w:u w:val="single"/>
        </w:rPr>
        <w:t xml:space="preserve">   </w:t>
      </w:r>
      <w:r>
        <w:rPr>
          <w:rFonts w:hint="eastAsia"/>
          <w:bCs/>
          <w:snapToGrid w:val="0"/>
          <w:color w:val="000000"/>
          <w:szCs w:val="21"/>
        </w:rPr>
        <w:t>月</w:t>
      </w:r>
      <w:r>
        <w:rPr>
          <w:rFonts w:hint="eastAsia"/>
          <w:bCs/>
          <w:snapToGrid w:val="0"/>
          <w:color w:val="000000"/>
          <w:szCs w:val="21"/>
          <w:u w:val="single"/>
        </w:rPr>
        <w:t xml:space="preserve">   </w:t>
      </w:r>
      <w:r>
        <w:rPr>
          <w:rFonts w:hint="eastAsia"/>
          <w:bCs/>
          <w:snapToGrid w:val="0"/>
          <w:color w:val="000000"/>
          <w:szCs w:val="21"/>
        </w:rPr>
        <w:t>日</w:t>
      </w:r>
      <w:r>
        <w:rPr>
          <w:rFonts w:hint="eastAsia"/>
          <w:bCs/>
          <w:snapToGrid w:val="0"/>
          <w:color w:val="000000"/>
          <w:szCs w:val="21"/>
          <w:u w:val="single"/>
        </w:rPr>
        <w:t xml:space="preserve">   </w:t>
      </w:r>
      <w:r>
        <w:rPr>
          <w:rFonts w:hint="eastAsia"/>
          <w:bCs/>
          <w:snapToGrid w:val="0"/>
          <w:color w:val="000000"/>
          <w:szCs w:val="21"/>
        </w:rPr>
        <w:t xml:space="preserve">时 </w:t>
      </w:r>
      <w:r>
        <w:rPr>
          <w:rFonts w:hint="eastAsia"/>
          <w:bCs/>
          <w:snapToGrid w:val="0"/>
          <w:color w:val="000000"/>
          <w:szCs w:val="21"/>
          <w:u w:val="single"/>
        </w:rPr>
        <w:t xml:space="preserve">   </w:t>
      </w:r>
      <w:r>
        <w:rPr>
          <w:rFonts w:hint="eastAsia"/>
          <w:bCs/>
          <w:snapToGrid w:val="0"/>
          <w:color w:val="000000"/>
          <w:szCs w:val="21"/>
        </w:rPr>
        <w:t>分。</w:t>
      </w:r>
    </w:p>
    <w:p>
      <w:pPr>
        <w:adjustRightInd w:val="0"/>
        <w:snapToGrid w:val="0"/>
        <w:spacing w:line="572" w:lineRule="exact"/>
        <w:ind w:firstLine="437"/>
        <w:outlineLvl w:val="2"/>
        <w:rPr>
          <w:bCs/>
          <w:snapToGrid w:val="0"/>
          <w:color w:val="000000"/>
          <w:szCs w:val="21"/>
        </w:rPr>
      </w:pPr>
      <w:r>
        <w:rPr>
          <w:rFonts w:hint="eastAsia"/>
          <w:bCs/>
          <w:snapToGrid w:val="0"/>
          <w:color w:val="000000"/>
          <w:szCs w:val="21"/>
        </w:rPr>
        <w:t>4.2 获取方式：</w:t>
      </w:r>
    </w:p>
    <w:p>
      <w:pPr>
        <w:adjustRightInd w:val="0"/>
        <w:snapToGrid w:val="0"/>
        <w:spacing w:line="572" w:lineRule="exact"/>
        <w:ind w:firstLine="437"/>
        <w:rPr>
          <w:bCs/>
          <w:snapToGrid w:val="0"/>
          <w:color w:val="000000"/>
          <w:szCs w:val="21"/>
        </w:rPr>
      </w:pPr>
      <w:r>
        <w:rPr>
          <w:rFonts w:hint="eastAsia"/>
          <w:bCs/>
          <w:snapToGrid w:val="0"/>
          <w:color w:val="000000"/>
          <w:szCs w:val="21"/>
        </w:rPr>
        <w:t>（1）潜在投标人须登录</w:t>
      </w:r>
      <w:r>
        <w:rPr>
          <w:rFonts w:hint="eastAsia"/>
          <w:bCs/>
          <w:snapToGrid w:val="0"/>
          <w:color w:val="000000"/>
          <w:szCs w:val="21"/>
          <w:u w:val="single"/>
        </w:rPr>
        <w:t xml:space="preserve">       （电子服务系统或电子交易系统）       </w:t>
      </w:r>
      <w:r>
        <w:rPr>
          <w:rFonts w:hint="eastAsia"/>
          <w:bCs/>
          <w:snapToGrid w:val="0"/>
          <w:color w:val="000000"/>
          <w:szCs w:val="21"/>
        </w:rPr>
        <w:t>查阅招标文件。</w:t>
      </w:r>
    </w:p>
    <w:p>
      <w:pPr>
        <w:adjustRightInd w:val="0"/>
        <w:snapToGrid w:val="0"/>
        <w:spacing w:line="572" w:lineRule="exact"/>
        <w:ind w:firstLine="437"/>
        <w:rPr>
          <w:bCs/>
          <w:snapToGrid w:val="0"/>
          <w:color w:val="000000"/>
          <w:szCs w:val="21"/>
        </w:rPr>
      </w:pPr>
      <w:r>
        <w:rPr>
          <w:rFonts w:hint="eastAsia"/>
          <w:bCs/>
          <w:snapToGrid w:val="0"/>
          <w:color w:val="000000"/>
          <w:szCs w:val="21"/>
        </w:rPr>
        <w:t>（2）潜在投标人查阅招标文件后，如参与投标，</w:t>
      </w:r>
      <w:r>
        <w:rPr>
          <w:rFonts w:hint="eastAsia"/>
          <w:bCs/>
          <w:snapToGrid w:val="0"/>
          <w:color w:val="000000"/>
          <w:szCs w:val="21"/>
          <w:u w:val="single"/>
        </w:rPr>
        <w:t xml:space="preserve">   </w:t>
      </w:r>
      <w:r>
        <w:rPr>
          <w:rFonts w:hint="eastAsia"/>
          <w:color w:val="000000"/>
          <w:u w:val="single"/>
        </w:rPr>
        <w:t xml:space="preserve"> </w:t>
      </w:r>
      <w:r>
        <w:rPr>
          <w:rFonts w:hint="eastAsia"/>
          <w:bCs/>
          <w:snapToGrid w:val="0"/>
          <w:color w:val="000000"/>
          <w:szCs w:val="21"/>
          <w:u w:val="single"/>
        </w:rPr>
        <w:t xml:space="preserve">   （招标文件的获取方式）    </w:t>
      </w:r>
      <w:r>
        <w:rPr>
          <w:rFonts w:hint="eastAsia"/>
          <w:bCs/>
          <w:snapToGrid w:val="0"/>
          <w:color w:val="000000"/>
          <w:szCs w:val="21"/>
        </w:rPr>
        <w:t>。</w:t>
      </w:r>
    </w:p>
    <w:p>
      <w:pPr>
        <w:adjustRightInd w:val="0"/>
        <w:snapToGrid w:val="0"/>
        <w:spacing w:line="572" w:lineRule="exact"/>
        <w:ind w:firstLine="437"/>
        <w:rPr>
          <w:bCs/>
          <w:snapToGrid w:val="0"/>
          <w:color w:val="000000"/>
          <w:szCs w:val="21"/>
        </w:rPr>
      </w:pPr>
      <w:r>
        <w:rPr>
          <w:rFonts w:hint="eastAsia"/>
          <w:bCs/>
          <w:snapToGrid w:val="0"/>
          <w:color w:val="000000"/>
          <w:szCs w:val="21"/>
        </w:rPr>
        <w:t>（</w:t>
      </w:r>
      <w:r>
        <w:rPr>
          <w:rFonts w:hint="eastAsia"/>
          <w:bCs/>
          <w:snapToGrid w:val="0"/>
          <w:color w:val="000000"/>
          <w:szCs w:val="21"/>
          <w:lang w:val="en-US"/>
        </w:rPr>
        <w:t>3</w:t>
      </w:r>
      <w:r>
        <w:rPr>
          <w:rFonts w:hint="eastAsia"/>
          <w:bCs/>
          <w:snapToGrid w:val="0"/>
          <w:color w:val="000000"/>
          <w:szCs w:val="21"/>
        </w:rPr>
        <w:t>）招标文件获取过程中有任何疑问，请在工作时间（工作时间：</w:t>
      </w:r>
      <w:r>
        <w:rPr>
          <w:rFonts w:hint="eastAsia"/>
          <w:bCs/>
          <w:snapToGrid w:val="0"/>
          <w:color w:val="000000"/>
          <w:szCs w:val="21"/>
          <w:u w:val="single"/>
        </w:rPr>
        <w:t xml:space="preserve">    </w:t>
      </w:r>
      <w:r>
        <w:rPr>
          <w:rFonts w:hint="eastAsia"/>
          <w:bCs/>
          <w:snapToGrid w:val="0"/>
          <w:color w:val="000000"/>
          <w:szCs w:val="21"/>
        </w:rPr>
        <w:t>）拨打</w:t>
      </w:r>
      <w:r>
        <w:rPr>
          <w:rFonts w:hint="eastAsia"/>
          <w:bCs/>
          <w:snapToGrid w:val="0"/>
          <w:color w:val="000000"/>
          <w:szCs w:val="21"/>
          <w:u w:val="single"/>
        </w:rPr>
        <w:t xml:space="preserve">        </w:t>
      </w:r>
      <w:r>
        <w:rPr>
          <w:rFonts w:hint="eastAsia"/>
          <w:bCs/>
          <w:snapToGrid w:val="0"/>
          <w:color w:val="000000"/>
          <w:szCs w:val="21"/>
        </w:rPr>
        <w:t xml:space="preserve">。 </w:t>
      </w:r>
    </w:p>
    <w:p>
      <w:pPr>
        <w:adjustRightInd w:val="0"/>
        <w:snapToGrid w:val="0"/>
        <w:spacing w:line="572" w:lineRule="exact"/>
        <w:outlineLvl w:val="1"/>
        <w:rPr>
          <w:b/>
          <w:bCs/>
          <w:color w:val="000000"/>
          <w:sz w:val="24"/>
        </w:rPr>
      </w:pPr>
      <w:bookmarkStart w:id="11" w:name="_Toc7309"/>
      <w:r>
        <w:rPr>
          <w:rFonts w:hint="eastAsia"/>
          <w:b/>
          <w:bCs/>
          <w:color w:val="000000"/>
          <w:sz w:val="24"/>
        </w:rPr>
        <w:t>5. 投标文件的递交</w:t>
      </w:r>
      <w:bookmarkEnd w:id="11"/>
    </w:p>
    <w:p>
      <w:pPr>
        <w:adjustRightInd w:val="0"/>
        <w:snapToGrid w:val="0"/>
        <w:spacing w:line="572" w:lineRule="exact"/>
        <w:ind w:firstLine="435"/>
        <w:rPr>
          <w:bCs/>
          <w:snapToGrid w:val="0"/>
          <w:color w:val="000000"/>
          <w:szCs w:val="21"/>
        </w:rPr>
      </w:pPr>
      <w:r>
        <w:rPr>
          <w:rFonts w:hint="eastAsia"/>
          <w:bCs/>
          <w:snapToGrid w:val="0"/>
          <w:color w:val="000000"/>
          <w:szCs w:val="21"/>
        </w:rPr>
        <w:t>投标文件递交的截止时间(投标截止时间，下同)为</w:t>
      </w:r>
      <w:r>
        <w:rPr>
          <w:rFonts w:hint="eastAsia"/>
          <w:color w:val="000000"/>
          <w:u w:val="single"/>
        </w:rPr>
        <w:t xml:space="preserve">    </w:t>
      </w:r>
      <w:r>
        <w:rPr>
          <w:rFonts w:hint="eastAsia"/>
          <w:bCs/>
          <w:snapToGrid w:val="0"/>
          <w:color w:val="000000"/>
          <w:szCs w:val="21"/>
        </w:rPr>
        <w:t>年</w:t>
      </w:r>
      <w:r>
        <w:rPr>
          <w:rFonts w:hint="eastAsia"/>
          <w:color w:val="000000"/>
          <w:u w:val="single"/>
        </w:rPr>
        <w:t xml:space="preserve">   </w:t>
      </w:r>
      <w:r>
        <w:rPr>
          <w:rFonts w:hint="eastAsia"/>
          <w:bCs/>
          <w:snapToGrid w:val="0"/>
          <w:color w:val="000000"/>
          <w:szCs w:val="21"/>
        </w:rPr>
        <w:t>月</w:t>
      </w:r>
      <w:r>
        <w:rPr>
          <w:rFonts w:hint="eastAsia"/>
          <w:color w:val="000000"/>
          <w:u w:val="single"/>
        </w:rPr>
        <w:t xml:space="preserve">   </w:t>
      </w:r>
      <w:r>
        <w:rPr>
          <w:rFonts w:hint="eastAsia"/>
          <w:bCs/>
          <w:snapToGrid w:val="0"/>
          <w:color w:val="000000"/>
          <w:szCs w:val="21"/>
        </w:rPr>
        <w:t>日</w:t>
      </w:r>
      <w:r>
        <w:rPr>
          <w:rFonts w:hint="eastAsia"/>
          <w:color w:val="000000"/>
          <w:u w:val="single"/>
        </w:rPr>
        <w:t xml:space="preserve">   </w:t>
      </w:r>
      <w:r>
        <w:rPr>
          <w:rFonts w:hint="eastAsia"/>
          <w:bCs/>
          <w:snapToGrid w:val="0"/>
          <w:color w:val="000000"/>
          <w:szCs w:val="21"/>
        </w:rPr>
        <w:t>时</w:t>
      </w:r>
      <w:r>
        <w:rPr>
          <w:rFonts w:hint="eastAsia"/>
          <w:color w:val="000000"/>
          <w:u w:val="single"/>
        </w:rPr>
        <w:t xml:space="preserve">   </w:t>
      </w:r>
      <w:r>
        <w:rPr>
          <w:rFonts w:hint="eastAsia"/>
          <w:bCs/>
          <w:snapToGrid w:val="0"/>
          <w:color w:val="000000"/>
          <w:szCs w:val="21"/>
        </w:rPr>
        <w:t>分，投标人应在投标截止时间前通过</w:t>
      </w:r>
      <w:r>
        <w:rPr>
          <w:rFonts w:hint="eastAsia"/>
          <w:color w:val="000000"/>
          <w:u w:val="single"/>
        </w:rPr>
        <w:t xml:space="preserve">   </w:t>
      </w:r>
      <w:r>
        <w:rPr>
          <w:rFonts w:hint="eastAsia"/>
          <w:bCs/>
          <w:snapToGrid w:val="0"/>
          <w:color w:val="000000"/>
          <w:szCs w:val="21"/>
          <w:u w:val="single"/>
        </w:rPr>
        <w:t>（电子服务系统或电子交易系统）</w:t>
      </w:r>
      <w:r>
        <w:rPr>
          <w:rFonts w:hint="eastAsia"/>
          <w:color w:val="000000"/>
          <w:u w:val="single"/>
        </w:rPr>
        <w:t xml:space="preserve">   </w:t>
      </w:r>
      <w:r>
        <w:rPr>
          <w:rFonts w:hint="eastAsia"/>
          <w:bCs/>
          <w:snapToGrid w:val="0"/>
          <w:color w:val="000000"/>
          <w:szCs w:val="21"/>
          <w:u w:val="single"/>
        </w:rPr>
        <w:t xml:space="preserve"> </w:t>
      </w:r>
      <w:r>
        <w:rPr>
          <w:rFonts w:hint="eastAsia"/>
          <w:bCs/>
          <w:snapToGrid w:val="0"/>
          <w:color w:val="000000"/>
          <w:szCs w:val="21"/>
        </w:rPr>
        <w:t>递交电子投标文件。</w:t>
      </w:r>
    </w:p>
    <w:p>
      <w:pPr>
        <w:adjustRightInd w:val="0"/>
        <w:snapToGrid w:val="0"/>
        <w:spacing w:line="572" w:lineRule="exact"/>
        <w:outlineLvl w:val="1"/>
        <w:rPr>
          <w:b/>
          <w:bCs/>
          <w:color w:val="000000"/>
          <w:sz w:val="24"/>
        </w:rPr>
      </w:pPr>
      <w:bookmarkStart w:id="12" w:name="_Toc22878"/>
      <w:r>
        <w:rPr>
          <w:rFonts w:hint="eastAsia"/>
          <w:b/>
          <w:bCs/>
          <w:color w:val="000000"/>
          <w:sz w:val="24"/>
        </w:rPr>
        <w:t>6. 开标时间及地点</w:t>
      </w:r>
      <w:bookmarkEnd w:id="12"/>
    </w:p>
    <w:p>
      <w:pPr>
        <w:adjustRightInd w:val="0"/>
        <w:snapToGrid w:val="0"/>
        <w:spacing w:line="572" w:lineRule="exact"/>
        <w:ind w:firstLine="435"/>
        <w:rPr>
          <w:bCs/>
          <w:snapToGrid w:val="0"/>
          <w:color w:val="000000"/>
          <w:szCs w:val="21"/>
        </w:rPr>
      </w:pPr>
      <w:r>
        <w:rPr>
          <w:rFonts w:hint="eastAsia"/>
          <w:bCs/>
          <w:snapToGrid w:val="0"/>
          <w:color w:val="000000"/>
          <w:szCs w:val="21"/>
        </w:rPr>
        <w:t>6.1 开标时间：</w:t>
      </w:r>
      <w:r>
        <w:rPr>
          <w:rFonts w:hint="eastAsia"/>
          <w:color w:val="000000"/>
          <w:u w:val="single"/>
        </w:rPr>
        <w:t xml:space="preserve">    </w:t>
      </w:r>
      <w:r>
        <w:rPr>
          <w:rFonts w:hint="eastAsia"/>
          <w:bCs/>
          <w:snapToGrid w:val="0"/>
          <w:color w:val="000000"/>
          <w:szCs w:val="21"/>
        </w:rPr>
        <w:t>年</w:t>
      </w:r>
      <w:r>
        <w:rPr>
          <w:rFonts w:hint="eastAsia"/>
          <w:color w:val="000000"/>
          <w:u w:val="single"/>
        </w:rPr>
        <w:t xml:space="preserve">   </w:t>
      </w:r>
      <w:r>
        <w:rPr>
          <w:rFonts w:hint="eastAsia"/>
          <w:bCs/>
          <w:snapToGrid w:val="0"/>
          <w:color w:val="000000"/>
          <w:szCs w:val="21"/>
        </w:rPr>
        <w:t>月</w:t>
      </w:r>
      <w:r>
        <w:rPr>
          <w:rFonts w:hint="eastAsia"/>
          <w:color w:val="000000"/>
          <w:u w:val="single"/>
        </w:rPr>
        <w:t xml:space="preserve">   </w:t>
      </w:r>
      <w:r>
        <w:rPr>
          <w:rFonts w:hint="eastAsia"/>
          <w:bCs/>
          <w:snapToGrid w:val="0"/>
          <w:color w:val="000000"/>
          <w:szCs w:val="21"/>
        </w:rPr>
        <w:t>日</w:t>
      </w:r>
      <w:r>
        <w:rPr>
          <w:rFonts w:hint="eastAsia"/>
          <w:color w:val="000000"/>
          <w:u w:val="single"/>
        </w:rPr>
        <w:t xml:space="preserve">   </w:t>
      </w:r>
      <w:r>
        <w:rPr>
          <w:rFonts w:hint="eastAsia"/>
          <w:bCs/>
          <w:snapToGrid w:val="0"/>
          <w:color w:val="000000"/>
          <w:szCs w:val="21"/>
        </w:rPr>
        <w:t>时</w:t>
      </w:r>
      <w:r>
        <w:rPr>
          <w:rFonts w:hint="eastAsia"/>
          <w:color w:val="000000"/>
          <w:u w:val="single"/>
        </w:rPr>
        <w:t xml:space="preserve">   </w:t>
      </w:r>
      <w:r>
        <w:rPr>
          <w:rFonts w:hint="eastAsia"/>
          <w:bCs/>
          <w:snapToGrid w:val="0"/>
          <w:color w:val="000000"/>
          <w:szCs w:val="21"/>
        </w:rPr>
        <w:t>分。</w:t>
      </w:r>
    </w:p>
    <w:p>
      <w:pPr>
        <w:adjustRightInd w:val="0"/>
        <w:snapToGrid w:val="0"/>
        <w:spacing w:line="572" w:lineRule="exact"/>
        <w:ind w:firstLine="435"/>
        <w:rPr>
          <w:bCs/>
          <w:snapToGrid w:val="0"/>
          <w:color w:val="000000"/>
          <w:szCs w:val="21"/>
        </w:rPr>
      </w:pPr>
      <w:r>
        <w:rPr>
          <w:rFonts w:hint="eastAsia"/>
          <w:bCs/>
          <w:snapToGrid w:val="0"/>
          <w:color w:val="000000"/>
          <w:szCs w:val="21"/>
        </w:rPr>
        <w:t xml:space="preserve">6.2 开标地点： </w:t>
      </w:r>
      <w:r>
        <w:rPr>
          <w:rFonts w:hint="eastAsia"/>
          <w:bCs/>
          <w:snapToGrid w:val="0"/>
          <w:color w:val="000000"/>
          <w:szCs w:val="21"/>
          <w:u w:val="single"/>
        </w:rPr>
        <w:t xml:space="preserve">                        </w:t>
      </w:r>
      <w:r>
        <w:rPr>
          <w:rFonts w:hint="eastAsia"/>
          <w:bCs/>
          <w:snapToGrid w:val="0"/>
          <w:color w:val="000000"/>
          <w:szCs w:val="21"/>
        </w:rPr>
        <w:t xml:space="preserve"> 。</w:t>
      </w:r>
    </w:p>
    <w:p>
      <w:pPr>
        <w:adjustRightInd w:val="0"/>
        <w:snapToGrid w:val="0"/>
        <w:spacing w:line="572" w:lineRule="exact"/>
        <w:outlineLvl w:val="1"/>
        <w:rPr>
          <w:b/>
          <w:bCs/>
          <w:color w:val="000000"/>
          <w:sz w:val="24"/>
        </w:rPr>
      </w:pPr>
      <w:bookmarkStart w:id="13" w:name="_Toc19540"/>
      <w:r>
        <w:rPr>
          <w:rFonts w:hint="eastAsia"/>
          <w:b/>
          <w:bCs/>
          <w:color w:val="000000"/>
          <w:sz w:val="24"/>
        </w:rPr>
        <w:t>7. 发布公告的媒介</w:t>
      </w:r>
      <w:bookmarkEnd w:id="13"/>
    </w:p>
    <w:p>
      <w:pPr>
        <w:adjustRightInd w:val="0"/>
        <w:snapToGrid w:val="0"/>
        <w:spacing w:line="572" w:lineRule="exact"/>
        <w:ind w:firstLine="437"/>
        <w:rPr>
          <w:color w:val="000000"/>
        </w:rPr>
      </w:pPr>
      <w:r>
        <w:rPr>
          <w:rFonts w:hint="eastAsia"/>
          <w:color w:val="000000"/>
        </w:rPr>
        <w:t>本次招标公告同时在</w:t>
      </w:r>
      <w:r>
        <w:rPr>
          <w:rFonts w:hint="eastAsia"/>
          <w:color w:val="000000"/>
          <w:u w:val="single"/>
        </w:rPr>
        <w:t xml:space="preserve">                         </w:t>
      </w:r>
      <w:r>
        <w:rPr>
          <w:rFonts w:hint="eastAsia"/>
          <w:color w:val="000000"/>
        </w:rPr>
        <w:t>上发布。</w:t>
      </w:r>
    </w:p>
    <w:p>
      <w:pPr>
        <w:adjustRightInd w:val="0"/>
        <w:snapToGrid w:val="0"/>
        <w:spacing w:line="572" w:lineRule="exact"/>
        <w:outlineLvl w:val="1"/>
        <w:rPr>
          <w:b/>
          <w:bCs/>
          <w:color w:val="000000"/>
          <w:sz w:val="24"/>
        </w:rPr>
      </w:pPr>
      <w:bookmarkStart w:id="14" w:name="_Toc1958"/>
      <w:r>
        <w:rPr>
          <w:rFonts w:hint="eastAsia"/>
          <w:b/>
          <w:bCs/>
          <w:color w:val="000000"/>
          <w:sz w:val="24"/>
        </w:rPr>
        <w:t>8.联系方式</w:t>
      </w:r>
      <w:bookmarkEnd w:id="14"/>
      <w:r>
        <w:rPr>
          <w:rFonts w:hint="eastAsia"/>
          <w:b/>
          <w:bCs/>
          <w:color w:val="000000"/>
          <w:sz w:val="24"/>
        </w:rPr>
        <w:t>（受理异议联系人及联系方式）</w:t>
      </w:r>
    </w:p>
    <w:p>
      <w:pPr>
        <w:adjustRightInd w:val="0"/>
        <w:snapToGrid w:val="0"/>
        <w:spacing w:line="572" w:lineRule="exact"/>
        <w:ind w:firstLine="437"/>
        <w:outlineLvl w:val="2"/>
        <w:rPr>
          <w:bCs/>
          <w:snapToGrid w:val="0"/>
          <w:color w:val="000000"/>
          <w:szCs w:val="21"/>
        </w:rPr>
      </w:pPr>
      <w:r>
        <w:rPr>
          <w:rFonts w:hint="eastAsia"/>
          <w:bCs/>
          <w:snapToGrid w:val="0"/>
          <w:color w:val="000000"/>
          <w:szCs w:val="21"/>
        </w:rPr>
        <w:t>8.1 招标人</w:t>
      </w:r>
    </w:p>
    <w:p>
      <w:pPr>
        <w:adjustRightInd w:val="0"/>
        <w:snapToGrid w:val="0"/>
        <w:spacing w:line="572" w:lineRule="exact"/>
        <w:ind w:firstLine="437"/>
        <w:rPr>
          <w:color w:val="000000"/>
          <w:u w:val="single"/>
        </w:rPr>
      </w:pPr>
      <w:r>
        <w:rPr>
          <w:rFonts w:hint="eastAsia"/>
          <w:color w:val="000000"/>
        </w:rPr>
        <w:t>招 标 人：</w:t>
      </w:r>
      <w:r>
        <w:rPr>
          <w:rFonts w:hint="eastAsia"/>
          <w:color w:val="000000"/>
          <w:u w:val="single"/>
        </w:rPr>
        <w:t xml:space="preserve">                                </w:t>
      </w:r>
    </w:p>
    <w:p>
      <w:pPr>
        <w:adjustRightInd w:val="0"/>
        <w:snapToGrid w:val="0"/>
        <w:spacing w:line="572" w:lineRule="exact"/>
        <w:ind w:firstLine="437"/>
        <w:rPr>
          <w:color w:val="000000"/>
          <w:u w:val="single"/>
        </w:rPr>
      </w:pPr>
      <w:r>
        <w:rPr>
          <w:rFonts w:hint="eastAsia"/>
          <w:color w:val="000000"/>
        </w:rPr>
        <w:t>地    址：</w:t>
      </w:r>
      <w:r>
        <w:rPr>
          <w:rFonts w:hint="eastAsia"/>
          <w:color w:val="000000"/>
          <w:u w:val="single"/>
        </w:rPr>
        <w:t xml:space="preserve">                                </w:t>
      </w:r>
    </w:p>
    <w:p>
      <w:pPr>
        <w:adjustRightInd w:val="0"/>
        <w:snapToGrid w:val="0"/>
        <w:spacing w:line="572" w:lineRule="exact"/>
        <w:ind w:firstLine="437"/>
        <w:rPr>
          <w:color w:val="000000"/>
        </w:rPr>
      </w:pPr>
      <w:r>
        <w:rPr>
          <w:rFonts w:hint="eastAsia"/>
          <w:color w:val="000000"/>
        </w:rPr>
        <w:t>邮    编：</w:t>
      </w:r>
      <w:r>
        <w:rPr>
          <w:rFonts w:hint="eastAsia"/>
          <w:color w:val="000000"/>
          <w:u w:val="single"/>
        </w:rPr>
        <w:t xml:space="preserve">                                </w:t>
      </w:r>
    </w:p>
    <w:p>
      <w:pPr>
        <w:adjustRightInd w:val="0"/>
        <w:snapToGrid w:val="0"/>
        <w:spacing w:line="572" w:lineRule="exact"/>
        <w:ind w:firstLine="437"/>
        <w:rPr>
          <w:color w:val="000000"/>
        </w:rPr>
      </w:pPr>
      <w:r>
        <w:rPr>
          <w:rFonts w:hint="eastAsia"/>
          <w:color w:val="000000"/>
        </w:rPr>
        <w:t>联 系 人：</w:t>
      </w:r>
      <w:r>
        <w:rPr>
          <w:rFonts w:hint="eastAsia"/>
          <w:color w:val="000000"/>
          <w:u w:val="single"/>
        </w:rPr>
        <w:t xml:space="preserve">                                </w:t>
      </w:r>
    </w:p>
    <w:p>
      <w:pPr>
        <w:adjustRightInd w:val="0"/>
        <w:snapToGrid w:val="0"/>
        <w:spacing w:line="572" w:lineRule="exact"/>
        <w:ind w:firstLine="437"/>
        <w:rPr>
          <w:color w:val="000000"/>
        </w:rPr>
      </w:pPr>
      <w:r>
        <w:rPr>
          <w:rFonts w:hint="eastAsia"/>
          <w:color w:val="000000"/>
        </w:rPr>
        <w:t>电    话：</w:t>
      </w:r>
      <w:r>
        <w:rPr>
          <w:rFonts w:hint="eastAsia"/>
          <w:color w:val="000000"/>
          <w:u w:val="single"/>
        </w:rPr>
        <w:t xml:space="preserve">                                </w:t>
      </w:r>
    </w:p>
    <w:p>
      <w:pPr>
        <w:adjustRightInd w:val="0"/>
        <w:snapToGrid w:val="0"/>
        <w:spacing w:line="572" w:lineRule="exact"/>
        <w:ind w:firstLine="437"/>
        <w:outlineLvl w:val="2"/>
        <w:rPr>
          <w:bCs/>
          <w:snapToGrid w:val="0"/>
          <w:color w:val="000000"/>
          <w:szCs w:val="21"/>
        </w:rPr>
      </w:pPr>
      <w:r>
        <w:rPr>
          <w:rFonts w:hint="eastAsia"/>
          <w:bCs/>
          <w:snapToGrid w:val="0"/>
          <w:color w:val="000000"/>
          <w:szCs w:val="21"/>
        </w:rPr>
        <w:t>8.2 招标代理机构</w:t>
      </w:r>
    </w:p>
    <w:p>
      <w:pPr>
        <w:adjustRightInd w:val="0"/>
        <w:snapToGrid w:val="0"/>
        <w:spacing w:line="572" w:lineRule="exact"/>
        <w:ind w:firstLine="437"/>
        <w:rPr>
          <w:color w:val="000000"/>
          <w:u w:val="single"/>
        </w:rPr>
      </w:pPr>
      <w:r>
        <w:rPr>
          <w:rFonts w:hint="eastAsia"/>
          <w:color w:val="000000"/>
        </w:rPr>
        <w:t>招标代理机构：</w:t>
      </w:r>
      <w:r>
        <w:rPr>
          <w:rFonts w:hint="eastAsia"/>
          <w:color w:val="000000"/>
          <w:u w:val="single"/>
        </w:rPr>
        <w:t xml:space="preserve">                           </w:t>
      </w:r>
    </w:p>
    <w:p>
      <w:pPr>
        <w:adjustRightInd w:val="0"/>
        <w:snapToGrid w:val="0"/>
        <w:spacing w:line="572" w:lineRule="exact"/>
        <w:ind w:firstLine="437"/>
        <w:rPr>
          <w:color w:val="000000"/>
          <w:u w:val="single"/>
        </w:rPr>
      </w:pPr>
      <w:r>
        <w:rPr>
          <w:rFonts w:hint="eastAsia"/>
          <w:color w:val="000000"/>
        </w:rPr>
        <w:t>地    址：</w:t>
      </w:r>
      <w:r>
        <w:rPr>
          <w:rFonts w:hint="eastAsia"/>
          <w:color w:val="000000"/>
          <w:u w:val="single"/>
        </w:rPr>
        <w:t xml:space="preserve">                               </w:t>
      </w:r>
    </w:p>
    <w:p>
      <w:pPr>
        <w:adjustRightInd w:val="0"/>
        <w:snapToGrid w:val="0"/>
        <w:spacing w:line="572" w:lineRule="exact"/>
        <w:ind w:firstLine="437"/>
        <w:rPr>
          <w:color w:val="000000"/>
          <w:u w:val="single"/>
        </w:rPr>
      </w:pPr>
      <w:r>
        <w:rPr>
          <w:rFonts w:hint="eastAsia"/>
          <w:color w:val="000000"/>
        </w:rPr>
        <w:t>邮    编：</w:t>
      </w:r>
      <w:r>
        <w:rPr>
          <w:rFonts w:hint="eastAsia"/>
          <w:color w:val="000000"/>
          <w:u w:val="single"/>
        </w:rPr>
        <w:t xml:space="preserve">                               </w:t>
      </w:r>
    </w:p>
    <w:p>
      <w:pPr>
        <w:adjustRightInd w:val="0"/>
        <w:snapToGrid w:val="0"/>
        <w:spacing w:line="572" w:lineRule="exact"/>
        <w:ind w:firstLine="437"/>
        <w:rPr>
          <w:color w:val="000000"/>
          <w:u w:val="single"/>
        </w:rPr>
      </w:pPr>
      <w:r>
        <w:rPr>
          <w:rFonts w:hint="eastAsia"/>
          <w:color w:val="000000"/>
        </w:rPr>
        <w:t>联 系 人：</w:t>
      </w:r>
      <w:r>
        <w:rPr>
          <w:rFonts w:hint="eastAsia"/>
          <w:color w:val="000000"/>
          <w:u w:val="single"/>
        </w:rPr>
        <w:t xml:space="preserve">                               </w:t>
      </w:r>
    </w:p>
    <w:p>
      <w:pPr>
        <w:adjustRightInd w:val="0"/>
        <w:snapToGrid w:val="0"/>
        <w:spacing w:line="572" w:lineRule="exact"/>
        <w:ind w:firstLine="437"/>
        <w:rPr>
          <w:rFonts w:hint="eastAsia"/>
          <w:color w:val="000000"/>
          <w:u w:val="single"/>
        </w:rPr>
      </w:pPr>
      <w:r>
        <w:rPr>
          <w:rFonts w:hint="eastAsia"/>
          <w:color w:val="000000"/>
        </w:rPr>
        <w:t>电    话：</w:t>
      </w:r>
      <w:r>
        <w:rPr>
          <w:rFonts w:hint="eastAsia"/>
          <w:color w:val="000000"/>
          <w:u w:val="single"/>
        </w:rPr>
        <w:t xml:space="preserve">                               </w:t>
      </w:r>
    </w:p>
    <w:p>
      <w:pPr>
        <w:adjustRightInd w:val="0"/>
        <w:snapToGrid w:val="0"/>
        <w:spacing w:line="572" w:lineRule="exact"/>
        <w:ind w:firstLine="437"/>
        <w:outlineLvl w:val="2"/>
        <w:rPr>
          <w:rFonts w:hint="eastAsia" w:ascii="宋体" w:hAnsi="宋体" w:cs="宋体"/>
          <w:color w:val="000000"/>
        </w:rPr>
      </w:pPr>
      <w:r>
        <w:rPr>
          <w:rFonts w:hint="eastAsia" w:ascii="宋体" w:hAnsi="宋体" w:cs="宋体"/>
          <w:bCs/>
          <w:snapToGrid w:val="0"/>
          <w:color w:val="000000"/>
          <w:kern w:val="0"/>
          <w:szCs w:val="21"/>
        </w:rPr>
        <w:t>8.</w:t>
      </w:r>
      <w:r>
        <w:rPr>
          <w:rFonts w:hint="eastAsia" w:ascii="宋体" w:hAnsi="宋体" w:cs="宋体"/>
          <w:bCs/>
          <w:snapToGrid w:val="0"/>
          <w:color w:val="000000"/>
          <w:kern w:val="0"/>
          <w:szCs w:val="21"/>
          <w:lang w:val="en-US" w:eastAsia="zh-CN"/>
        </w:rPr>
        <w:t>3</w:t>
      </w:r>
      <w:r>
        <w:rPr>
          <w:rFonts w:hint="eastAsia" w:ascii="宋体" w:hAnsi="宋体" w:cs="宋体"/>
          <w:bCs/>
          <w:snapToGrid w:val="0"/>
          <w:color w:val="000000"/>
          <w:kern w:val="0"/>
          <w:szCs w:val="21"/>
        </w:rPr>
        <w:t>招标监督管理机构</w:t>
      </w:r>
    </w:p>
    <w:p>
      <w:pPr>
        <w:adjustRightInd w:val="0"/>
        <w:snapToGrid w:val="0"/>
        <w:spacing w:line="572" w:lineRule="exact"/>
        <w:ind w:firstLine="437"/>
        <w:rPr>
          <w:rFonts w:hint="eastAsia" w:ascii="宋体" w:hAnsi="宋体" w:cs="宋体"/>
          <w:color w:val="000000"/>
          <w:u w:val="single"/>
        </w:rPr>
      </w:pPr>
      <w:r>
        <w:rPr>
          <w:rFonts w:hint="eastAsia" w:ascii="宋体" w:hAnsi="宋体" w:cs="宋体"/>
          <w:bCs/>
          <w:snapToGrid w:val="0"/>
          <w:color w:val="000000"/>
          <w:kern w:val="0"/>
          <w:szCs w:val="21"/>
        </w:rPr>
        <w:t>招标监督管理机构：</w:t>
      </w:r>
      <w:r>
        <w:rPr>
          <w:rFonts w:hint="eastAsia" w:ascii="宋体" w:hAnsi="宋体" w:cs="宋体"/>
          <w:color w:val="000000"/>
          <w:u w:val="single"/>
        </w:rPr>
        <w:t xml:space="preserve">  淮北市公共资源交易监督管理局</w:t>
      </w:r>
    </w:p>
    <w:p>
      <w:pPr>
        <w:adjustRightInd w:val="0"/>
        <w:snapToGrid w:val="0"/>
        <w:spacing w:line="572" w:lineRule="exact"/>
        <w:ind w:firstLine="437"/>
        <w:rPr>
          <w:rFonts w:hint="eastAsia" w:ascii="宋体" w:hAnsi="宋体" w:cs="宋体"/>
          <w:color w:val="000000"/>
          <w:u w:val="single"/>
        </w:rPr>
      </w:pPr>
      <w:r>
        <w:rPr>
          <w:rFonts w:hint="eastAsia" w:ascii="宋体" w:hAnsi="宋体" w:cs="宋体"/>
          <w:bCs/>
          <w:snapToGrid w:val="0"/>
          <w:color w:val="000000"/>
          <w:kern w:val="0"/>
          <w:szCs w:val="21"/>
        </w:rPr>
        <w:t>地    址：</w:t>
      </w:r>
      <w:r>
        <w:rPr>
          <w:rFonts w:hint="eastAsia" w:ascii="宋体" w:hAnsi="宋体" w:cs="宋体"/>
          <w:color w:val="000000"/>
          <w:u w:val="single"/>
        </w:rPr>
        <w:t xml:space="preserve"> 淮北市人民路199 号招商大厦7楼 </w:t>
      </w:r>
    </w:p>
    <w:p>
      <w:pPr>
        <w:adjustRightInd w:val="0"/>
        <w:snapToGrid w:val="0"/>
        <w:spacing w:line="572" w:lineRule="exact"/>
        <w:ind w:firstLine="437"/>
      </w:pPr>
      <w:r>
        <w:rPr>
          <w:rFonts w:hint="eastAsia" w:ascii="宋体" w:hAnsi="宋体" w:cs="宋体"/>
          <w:bCs/>
          <w:snapToGrid w:val="0"/>
          <w:color w:val="000000"/>
          <w:kern w:val="0"/>
          <w:szCs w:val="21"/>
        </w:rPr>
        <w:t xml:space="preserve">电    话： </w:t>
      </w:r>
      <w:r>
        <w:rPr>
          <w:rFonts w:hint="eastAsia" w:ascii="宋体" w:hAnsi="宋体" w:cs="宋体"/>
          <w:color w:val="000000"/>
          <w:u w:val="single"/>
        </w:rPr>
        <w:t xml:space="preserve">  </w:t>
      </w:r>
      <w:r>
        <w:rPr>
          <w:rFonts w:hint="eastAsia" w:ascii="宋体" w:hAnsi="宋体" w:cs="宋体"/>
          <w:color w:val="000000"/>
          <w:u w:val="single"/>
          <w:lang w:val="en-US" w:eastAsia="zh-CN"/>
        </w:rPr>
        <w:t xml:space="preserve">     </w:t>
      </w:r>
      <w:r>
        <w:rPr>
          <w:rFonts w:hint="eastAsia" w:ascii="宋体" w:hAnsi="宋体" w:cs="宋体"/>
          <w:color w:val="000000"/>
          <w:u w:val="single"/>
        </w:rPr>
        <w:t xml:space="preserve">0561-3198613          </w:t>
      </w:r>
    </w:p>
    <w:p>
      <w:pPr>
        <w:pStyle w:val="2"/>
      </w:pPr>
    </w:p>
    <w:p>
      <w:pPr>
        <w:adjustRightInd w:val="0"/>
        <w:snapToGrid w:val="0"/>
        <w:spacing w:line="572" w:lineRule="exact"/>
        <w:outlineLvl w:val="1"/>
        <w:rPr>
          <w:b/>
          <w:bCs/>
          <w:color w:val="000000"/>
          <w:sz w:val="24"/>
        </w:rPr>
      </w:pPr>
      <w:bookmarkStart w:id="15" w:name="_Toc10179"/>
      <w:r>
        <w:rPr>
          <w:rFonts w:hint="eastAsia"/>
          <w:b/>
          <w:bCs/>
          <w:color w:val="000000"/>
          <w:sz w:val="24"/>
        </w:rPr>
        <w:t>9.其他事项说明</w:t>
      </w:r>
      <w:bookmarkEnd w:id="15"/>
    </w:p>
    <w:p>
      <w:pPr>
        <w:adjustRightInd w:val="0"/>
        <w:snapToGrid w:val="0"/>
        <w:spacing w:line="572" w:lineRule="exact"/>
        <w:rPr>
          <w:color w:val="000000"/>
          <w:sz w:val="24"/>
          <w:u w:val="single"/>
        </w:rPr>
      </w:pPr>
      <w:r>
        <w:rPr>
          <w:rFonts w:hint="eastAsia"/>
          <w:color w:val="000000"/>
          <w:sz w:val="24"/>
        </w:rPr>
        <w:t xml:space="preserve">    </w:t>
      </w:r>
      <w:r>
        <w:rPr>
          <w:rFonts w:hint="eastAsia"/>
          <w:color w:val="000000"/>
          <w:sz w:val="24"/>
          <w:u w:val="single"/>
        </w:rPr>
        <w:t xml:space="preserve">                                     </w:t>
      </w:r>
    </w:p>
    <w:p>
      <w:pPr>
        <w:adjustRightInd w:val="0"/>
        <w:snapToGrid w:val="0"/>
        <w:spacing w:line="572" w:lineRule="exact"/>
        <w:outlineLvl w:val="1"/>
        <w:rPr>
          <w:b/>
          <w:bCs/>
          <w:color w:val="000000"/>
          <w:sz w:val="24"/>
        </w:rPr>
      </w:pPr>
      <w:bookmarkStart w:id="16" w:name="_Toc25889"/>
      <w:r>
        <w:rPr>
          <w:rFonts w:hint="eastAsia"/>
          <w:b/>
          <w:bCs/>
          <w:color w:val="000000"/>
          <w:sz w:val="24"/>
        </w:rPr>
        <w:t>10.投标保证金收款银行账户信息</w:t>
      </w:r>
      <w:bookmarkEnd w:id="16"/>
    </w:p>
    <w:p>
      <w:pPr>
        <w:adjustRightInd w:val="0"/>
        <w:snapToGrid w:val="0"/>
        <w:spacing w:line="572" w:lineRule="exact"/>
        <w:rPr>
          <w:color w:val="000000"/>
          <w:sz w:val="24"/>
          <w:u w:val="single"/>
        </w:rPr>
      </w:pPr>
      <w:r>
        <w:rPr>
          <w:rFonts w:hint="eastAsia"/>
          <w:color w:val="000000"/>
          <w:sz w:val="24"/>
        </w:rPr>
        <w:t xml:space="preserve">    </w:t>
      </w:r>
      <w:r>
        <w:rPr>
          <w:rFonts w:hint="eastAsia"/>
          <w:color w:val="000000"/>
          <w:sz w:val="24"/>
          <w:u w:val="single"/>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szCs w:val="21"/>
        </w:rPr>
      </w:pPr>
      <w:r>
        <w:rPr>
          <w:rFonts w:hint="eastAsia"/>
          <w:color w:val="000000"/>
          <w:szCs w:val="21"/>
        </w:rPr>
        <w:t xml:space="preserve"> </w:t>
      </w: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widowControl/>
        <w:autoSpaceDE/>
        <w:autoSpaceDN/>
      </w:pPr>
      <w:r>
        <w:br w:type="page"/>
      </w:r>
    </w:p>
    <w:p>
      <w:pPr/>
    </w:p>
    <w:p>
      <w:pPr>
        <w:pStyle w:val="5"/>
        <w:numPr>
          <w:ilvl w:val="0"/>
          <w:numId w:val="4"/>
        </w:numPr>
        <w:spacing w:before="0" w:line="360" w:lineRule="auto"/>
        <w:ind w:left="0"/>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投标人须知前附表</w:t>
      </w:r>
      <w:bookmarkEnd w:id="4"/>
    </w:p>
    <w:tbl>
      <w:tblPr>
        <w:tblStyle w:val="48"/>
        <w:tblW w:w="92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688"/>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15" w:type="dxa"/>
            <w:vAlign w:val="center"/>
          </w:tcPr>
          <w:p>
            <w:pPr>
              <w:pStyle w:val="50"/>
              <w:adjustRightInd w:val="0"/>
              <w:snapToGrid w:val="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条款号</w:t>
            </w:r>
          </w:p>
        </w:tc>
        <w:tc>
          <w:tcPr>
            <w:tcW w:w="1688" w:type="dxa"/>
            <w:vAlign w:val="center"/>
          </w:tcPr>
          <w:p>
            <w:pPr>
              <w:pStyle w:val="50"/>
              <w:adjustRightInd w:val="0"/>
              <w:snapToGrid w:val="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条款名称</w:t>
            </w:r>
          </w:p>
        </w:tc>
        <w:tc>
          <w:tcPr>
            <w:tcW w:w="6679" w:type="dxa"/>
            <w:vAlign w:val="center"/>
          </w:tcPr>
          <w:p>
            <w:pPr>
              <w:pStyle w:val="50"/>
              <w:tabs>
                <w:tab w:val="left" w:pos="434"/>
                <w:tab w:val="left" w:pos="855"/>
                <w:tab w:val="left" w:pos="1275"/>
              </w:tabs>
              <w:adjustRightInd w:val="0"/>
              <w:snapToGrid w:val="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编</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t>列</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t>内</w:t>
            </w:r>
            <w:r>
              <w:rPr>
                <w:rFonts w:hint="eastAsia" w:asciiTheme="minorEastAsia" w:hAnsiTheme="minorEastAsia" w:eastAsiaTheme="minorEastAsia" w:cstheme="minorEastAsia"/>
                <w:b/>
                <w:bCs/>
                <w:sz w:val="21"/>
                <w:szCs w:val="21"/>
              </w:rPr>
              <w:tab/>
            </w:r>
            <w:r>
              <w:rPr>
                <w:rFonts w:hint="eastAsia" w:asciiTheme="minorEastAsia" w:hAnsiTheme="minorEastAsia" w:eastAsiaTheme="minorEastAsia" w:cstheme="minorEastAsia"/>
                <w:b/>
                <w:bCs/>
                <w:sz w:val="21"/>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Merge w:val="restart"/>
            <w:vAlign w:val="center"/>
          </w:tcPr>
          <w:p>
            <w:pPr>
              <w:jc w:val="center"/>
              <w:rPr>
                <w:sz w:val="21"/>
                <w:szCs w:val="21"/>
              </w:rPr>
            </w:pPr>
            <w:r>
              <w:rPr>
                <w:rFonts w:hint="eastAsia"/>
                <w:sz w:val="21"/>
                <w:szCs w:val="21"/>
              </w:rPr>
              <w:t>1</w:t>
            </w:r>
          </w:p>
        </w:tc>
        <w:tc>
          <w:tcPr>
            <w:tcW w:w="1688" w:type="dxa"/>
            <w:vMerge w:val="restart"/>
            <w:vAlign w:val="center"/>
          </w:tcPr>
          <w:p>
            <w:pPr>
              <w:jc w:val="center"/>
              <w:rPr>
                <w:sz w:val="21"/>
                <w:szCs w:val="21"/>
              </w:rPr>
            </w:pPr>
            <w:r>
              <w:rPr>
                <w:rFonts w:hint="eastAsia"/>
                <w:sz w:val="21"/>
                <w:szCs w:val="21"/>
              </w:rPr>
              <w:t>招标人</w:t>
            </w: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名称：</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15" w:type="dxa"/>
            <w:vMerge w:val="continue"/>
          </w:tcPr>
          <w:p>
            <w:pPr>
              <w:rPr>
                <w:sz w:val="21"/>
                <w:szCs w:val="21"/>
              </w:rPr>
            </w:pPr>
          </w:p>
        </w:tc>
        <w:tc>
          <w:tcPr>
            <w:tcW w:w="1688" w:type="dxa"/>
            <w:vMerge w:val="continue"/>
          </w:tcPr>
          <w:p>
            <w:pPr>
              <w:jc w:val="center"/>
              <w:rPr>
                <w:sz w:val="21"/>
                <w:szCs w:val="21"/>
              </w:rPr>
            </w:pP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地址：</w:t>
            </w:r>
            <w:r>
              <w:rPr>
                <w:rFonts w:eastAsia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5" w:type="dxa"/>
            <w:vMerge w:val="continue"/>
          </w:tcPr>
          <w:p>
            <w:pPr>
              <w:rPr>
                <w:sz w:val="21"/>
                <w:szCs w:val="21"/>
              </w:rPr>
            </w:pPr>
          </w:p>
        </w:tc>
        <w:tc>
          <w:tcPr>
            <w:tcW w:w="1688" w:type="dxa"/>
            <w:vMerge w:val="continue"/>
          </w:tcPr>
          <w:p>
            <w:pPr>
              <w:jc w:val="center"/>
              <w:rPr>
                <w:sz w:val="21"/>
                <w:szCs w:val="21"/>
              </w:rPr>
            </w:pP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15" w:type="dxa"/>
            <w:vMerge w:val="continue"/>
          </w:tcPr>
          <w:p>
            <w:pPr>
              <w:rPr>
                <w:sz w:val="21"/>
                <w:szCs w:val="21"/>
              </w:rPr>
            </w:pPr>
          </w:p>
        </w:tc>
        <w:tc>
          <w:tcPr>
            <w:tcW w:w="1688" w:type="dxa"/>
            <w:vMerge w:val="continue"/>
          </w:tcPr>
          <w:p>
            <w:pPr>
              <w:jc w:val="center"/>
              <w:rPr>
                <w:sz w:val="21"/>
                <w:szCs w:val="21"/>
              </w:rPr>
            </w:pP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lang w:val="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15" w:type="dxa"/>
            <w:vMerge w:val="restart"/>
            <w:vAlign w:val="center"/>
          </w:tcPr>
          <w:p>
            <w:pPr>
              <w:jc w:val="center"/>
              <w:rPr>
                <w:sz w:val="21"/>
                <w:szCs w:val="21"/>
              </w:rPr>
            </w:pPr>
            <w:r>
              <w:rPr>
                <w:rFonts w:hint="eastAsia" w:asciiTheme="minorEastAsia" w:hAnsiTheme="minorEastAsia" w:eastAsiaTheme="minorEastAsia" w:cstheme="minorEastAsia"/>
                <w:sz w:val="21"/>
                <w:szCs w:val="21"/>
              </w:rPr>
              <w:t>2</w:t>
            </w:r>
          </w:p>
        </w:tc>
        <w:tc>
          <w:tcPr>
            <w:tcW w:w="1688" w:type="dxa"/>
            <w:vMerge w:val="restart"/>
            <w:vAlign w:val="center"/>
          </w:tcPr>
          <w:p>
            <w:pPr>
              <w:jc w:val="center"/>
              <w:rPr>
                <w:sz w:val="21"/>
                <w:szCs w:val="21"/>
              </w:rPr>
            </w:pPr>
            <w:r>
              <w:rPr>
                <w:rFonts w:hint="eastAsia" w:asciiTheme="minorEastAsia" w:hAnsiTheme="minorEastAsia" w:eastAsiaTheme="minorEastAsia" w:cstheme="minorEastAsia"/>
                <w:sz w:val="21"/>
                <w:szCs w:val="21"/>
              </w:rPr>
              <w:t>招标代理机构</w:t>
            </w: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名称：XXX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15" w:type="dxa"/>
            <w:vMerge w:val="continue"/>
            <w:vAlign w:val="center"/>
          </w:tcPr>
          <w:p>
            <w:pPr>
              <w:rPr>
                <w:sz w:val="21"/>
                <w:szCs w:val="21"/>
              </w:rPr>
            </w:pPr>
          </w:p>
        </w:tc>
        <w:tc>
          <w:tcPr>
            <w:tcW w:w="1688" w:type="dxa"/>
            <w:vMerge w:val="continue"/>
            <w:vAlign w:val="center"/>
          </w:tcPr>
          <w:p>
            <w:pPr>
              <w:jc w:val="center"/>
              <w:rPr>
                <w:sz w:val="21"/>
                <w:szCs w:val="21"/>
              </w:rPr>
            </w:pPr>
          </w:p>
        </w:tc>
        <w:tc>
          <w:tcPr>
            <w:tcW w:w="6679" w:type="dxa"/>
            <w:vAlign w:val="center"/>
          </w:tcPr>
          <w:p>
            <w:pPr>
              <w:rPr>
                <w:rFonts w:eastAsiaTheme="minorEastAsia"/>
                <w:sz w:val="21"/>
                <w:szCs w:val="21"/>
                <w:lang w:val="en-US"/>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Merge w:val="continue"/>
            <w:vAlign w:val="center"/>
          </w:tcPr>
          <w:p>
            <w:pPr>
              <w:rPr>
                <w:sz w:val="21"/>
                <w:szCs w:val="21"/>
              </w:rPr>
            </w:pPr>
          </w:p>
        </w:tc>
        <w:tc>
          <w:tcPr>
            <w:tcW w:w="1688" w:type="dxa"/>
            <w:vMerge w:val="continue"/>
            <w:vAlign w:val="center"/>
          </w:tcPr>
          <w:p>
            <w:pPr>
              <w:jc w:val="center"/>
              <w:rPr>
                <w:sz w:val="21"/>
                <w:szCs w:val="21"/>
              </w:rPr>
            </w:pP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Merge w:val="continue"/>
            <w:vAlign w:val="center"/>
          </w:tcPr>
          <w:p>
            <w:pPr>
              <w:rPr>
                <w:sz w:val="21"/>
                <w:szCs w:val="21"/>
              </w:rPr>
            </w:pPr>
          </w:p>
        </w:tc>
        <w:tc>
          <w:tcPr>
            <w:tcW w:w="1688" w:type="dxa"/>
            <w:vMerge w:val="continue"/>
            <w:vAlign w:val="center"/>
          </w:tcPr>
          <w:p>
            <w:pPr>
              <w:jc w:val="center"/>
              <w:rPr>
                <w:sz w:val="21"/>
                <w:szCs w:val="21"/>
              </w:rPr>
            </w:pPr>
          </w:p>
        </w:tc>
        <w:tc>
          <w:tcPr>
            <w:tcW w:w="6679" w:type="dxa"/>
            <w:vAlign w:val="center"/>
          </w:tcPr>
          <w:p>
            <w:pPr>
              <w:rPr>
                <w:rFonts w:eastAsiaTheme="minorEastAsia"/>
                <w:sz w:val="21"/>
                <w:szCs w:val="21"/>
              </w:rPr>
            </w:pPr>
            <w:r>
              <w:rPr>
                <w:rFonts w:hint="eastAsia" w:asciiTheme="minorEastAsia" w:hAnsiTheme="minorEastAsia" w:eastAsiaTheme="minorEastAsia" w:cstheme="minorEastAsia"/>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Merge w:val="continue"/>
            <w:vAlign w:val="center"/>
          </w:tcPr>
          <w:p>
            <w:pPr>
              <w:rPr>
                <w:sz w:val="21"/>
                <w:szCs w:val="21"/>
              </w:rPr>
            </w:pPr>
          </w:p>
        </w:tc>
        <w:tc>
          <w:tcPr>
            <w:tcW w:w="1688" w:type="dxa"/>
            <w:vMerge w:val="continue"/>
            <w:vAlign w:val="center"/>
          </w:tcPr>
          <w:p>
            <w:pPr>
              <w:jc w:val="center"/>
              <w:rPr>
                <w:sz w:val="21"/>
                <w:szCs w:val="21"/>
              </w:rPr>
            </w:pPr>
          </w:p>
        </w:tc>
        <w:tc>
          <w:tcPr>
            <w:tcW w:w="6679" w:type="dxa"/>
            <w:vAlign w:val="center"/>
          </w:tcPr>
          <w:p>
            <w:pPr>
              <w:rPr>
                <w:sz w:val="21"/>
                <w:szCs w:val="21"/>
              </w:rPr>
            </w:pPr>
            <w:r>
              <w:rPr>
                <w:rFonts w:hint="eastAsia" w:asciiTheme="minorEastAsia" w:hAnsiTheme="minorEastAsia" w:eastAsiaTheme="minorEastAsia" w:cstheme="minorEastAsia"/>
                <w:sz w:val="21"/>
                <w:szCs w:val="21"/>
              </w:rPr>
              <w:t>电子邮件：</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915" w:type="dxa"/>
            <w:vAlign w:val="center"/>
          </w:tcPr>
          <w:p>
            <w:pPr>
              <w:jc w:val="center"/>
              <w:rPr>
                <w:sz w:val="21"/>
                <w:szCs w:val="21"/>
              </w:rPr>
            </w:pPr>
            <w:r>
              <w:rPr>
                <w:rFonts w:hint="eastAsia" w:asciiTheme="minorEastAsia" w:hAnsiTheme="minorEastAsia" w:eastAsiaTheme="minorEastAsia" w:cstheme="minorEastAsia"/>
                <w:sz w:val="21"/>
                <w:szCs w:val="21"/>
              </w:rPr>
              <w:t>3</w:t>
            </w:r>
          </w:p>
        </w:tc>
        <w:tc>
          <w:tcPr>
            <w:tcW w:w="1688" w:type="dxa"/>
            <w:vAlign w:val="center"/>
          </w:tcPr>
          <w:p>
            <w:pPr>
              <w:jc w:val="center"/>
              <w:rPr>
                <w:sz w:val="21"/>
                <w:szCs w:val="21"/>
              </w:rPr>
            </w:pPr>
            <w:r>
              <w:rPr>
                <w:rFonts w:hint="eastAsia" w:asciiTheme="minorEastAsia" w:hAnsiTheme="minorEastAsia" w:eastAsiaTheme="minorEastAsia" w:cstheme="minorEastAsia"/>
                <w:sz w:val="21"/>
                <w:szCs w:val="21"/>
              </w:rPr>
              <w:t>项目名称</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XXX工程设计施工总承包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sz w:val="21"/>
                <w:szCs w:val="21"/>
              </w:rPr>
            </w:pPr>
            <w:r>
              <w:rPr>
                <w:rFonts w:hint="eastAsia" w:asciiTheme="minorEastAsia" w:hAnsiTheme="minorEastAsia" w:eastAsiaTheme="minorEastAsia" w:cstheme="minorEastAsia"/>
                <w:sz w:val="21"/>
                <w:szCs w:val="21"/>
              </w:rPr>
              <w:t>4</w:t>
            </w:r>
          </w:p>
        </w:tc>
        <w:tc>
          <w:tcPr>
            <w:tcW w:w="1688" w:type="dxa"/>
            <w:vAlign w:val="center"/>
          </w:tcPr>
          <w:p>
            <w:pPr>
              <w:jc w:val="center"/>
              <w:rPr>
                <w:sz w:val="21"/>
                <w:szCs w:val="21"/>
              </w:rPr>
            </w:pPr>
            <w:r>
              <w:rPr>
                <w:rFonts w:hint="eastAsia" w:asciiTheme="minorEastAsia" w:hAnsiTheme="minorEastAsia" w:eastAsiaTheme="minorEastAsia" w:cstheme="minorEastAsia"/>
                <w:sz w:val="21"/>
                <w:szCs w:val="21"/>
              </w:rPr>
              <w:t>建设地点</w:t>
            </w:r>
          </w:p>
        </w:tc>
        <w:tc>
          <w:tcPr>
            <w:tcW w:w="6679" w:type="dxa"/>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tcPr>
          <w:p>
            <w:pPr>
              <w:jc w:val="center"/>
              <w:rPr>
                <w:sz w:val="21"/>
                <w:szCs w:val="21"/>
              </w:rPr>
            </w:pPr>
            <w:r>
              <w:rPr>
                <w:rFonts w:hint="eastAsia" w:asciiTheme="minorEastAsia" w:hAnsiTheme="minorEastAsia" w:eastAsiaTheme="minorEastAsia" w:cstheme="minorEastAsia"/>
                <w:sz w:val="21"/>
                <w:szCs w:val="21"/>
              </w:rPr>
              <w:t>5</w:t>
            </w:r>
          </w:p>
        </w:tc>
        <w:tc>
          <w:tcPr>
            <w:tcW w:w="1688" w:type="dxa"/>
            <w:vAlign w:val="center"/>
          </w:tcPr>
          <w:p>
            <w:pPr>
              <w:jc w:val="center"/>
              <w:rPr>
                <w:sz w:val="21"/>
                <w:szCs w:val="21"/>
              </w:rPr>
            </w:pPr>
            <w:r>
              <w:rPr>
                <w:rFonts w:hint="eastAsia" w:asciiTheme="minorEastAsia" w:hAnsiTheme="minorEastAsia" w:eastAsiaTheme="minorEastAsia" w:cstheme="minorEastAsia"/>
                <w:sz w:val="21"/>
                <w:szCs w:val="21"/>
              </w:rPr>
              <w:t>资金来源</w:t>
            </w:r>
          </w:p>
        </w:tc>
        <w:tc>
          <w:tcPr>
            <w:tcW w:w="6679" w:type="dxa"/>
            <w:vAlign w:val="center"/>
          </w:tcPr>
          <w:p>
            <w:pPr>
              <w:rPr>
                <w:rFonts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tcPr>
          <w:p>
            <w:pPr>
              <w:jc w:val="center"/>
              <w:rPr>
                <w:sz w:val="21"/>
                <w:szCs w:val="21"/>
              </w:rPr>
            </w:pPr>
            <w:r>
              <w:rPr>
                <w:rFonts w:hint="eastAsia" w:asciiTheme="minorEastAsia" w:hAnsiTheme="minorEastAsia" w:eastAsiaTheme="minorEastAsia" w:cstheme="minorEastAsia"/>
                <w:sz w:val="21"/>
                <w:szCs w:val="21"/>
              </w:rPr>
              <w:t>6</w:t>
            </w:r>
          </w:p>
        </w:tc>
        <w:tc>
          <w:tcPr>
            <w:tcW w:w="1688" w:type="dxa"/>
            <w:vAlign w:val="center"/>
          </w:tcPr>
          <w:p>
            <w:pPr>
              <w:jc w:val="center"/>
              <w:rPr>
                <w:sz w:val="21"/>
                <w:szCs w:val="21"/>
              </w:rPr>
            </w:pPr>
            <w:r>
              <w:rPr>
                <w:rFonts w:hint="eastAsia" w:asciiTheme="minorEastAsia" w:hAnsiTheme="minorEastAsia" w:eastAsiaTheme="minorEastAsia" w:cstheme="minorEastAsia"/>
                <w:sz w:val="21"/>
                <w:szCs w:val="21"/>
              </w:rPr>
              <w:t>出资比例</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tcPr>
          <w:p>
            <w:pPr>
              <w:jc w:val="center"/>
              <w:rPr>
                <w:sz w:val="21"/>
                <w:szCs w:val="21"/>
              </w:rPr>
            </w:pPr>
            <w:r>
              <w:rPr>
                <w:rFonts w:hint="eastAsia" w:asciiTheme="minorEastAsia" w:hAnsiTheme="minorEastAsia" w:eastAsiaTheme="minorEastAsia" w:cstheme="minorEastAsia"/>
                <w:sz w:val="21"/>
                <w:szCs w:val="21"/>
              </w:rPr>
              <w:t>7</w:t>
            </w:r>
          </w:p>
        </w:tc>
        <w:tc>
          <w:tcPr>
            <w:tcW w:w="1688" w:type="dxa"/>
            <w:vAlign w:val="center"/>
          </w:tcPr>
          <w:p>
            <w:pPr>
              <w:jc w:val="center"/>
              <w:rPr>
                <w:sz w:val="21"/>
                <w:szCs w:val="21"/>
              </w:rPr>
            </w:pPr>
            <w:r>
              <w:rPr>
                <w:rFonts w:hint="eastAsia" w:asciiTheme="minorEastAsia" w:hAnsiTheme="minorEastAsia" w:eastAsiaTheme="minorEastAsia" w:cstheme="minorEastAsia"/>
                <w:sz w:val="21"/>
                <w:szCs w:val="21"/>
              </w:rPr>
              <w:t>资金落实情况</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招标范围</w:t>
            </w:r>
          </w:p>
        </w:tc>
        <w:tc>
          <w:tcPr>
            <w:tcW w:w="6679" w:type="dxa"/>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建设工期</w:t>
            </w:r>
          </w:p>
        </w:tc>
        <w:tc>
          <w:tcPr>
            <w:tcW w:w="6679" w:type="dxa"/>
          </w:tcPr>
          <w:p>
            <w:pPr>
              <w:pStyle w:val="2"/>
              <w:spacing w:after="0"/>
              <w:ind w:left="0" w:firstLine="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质量要求</w:t>
            </w:r>
          </w:p>
        </w:tc>
        <w:tc>
          <w:tcPr>
            <w:tcW w:w="6679" w:type="dxa"/>
            <w:vAlign w:val="center"/>
          </w:tcPr>
          <w:p>
            <w:pPr>
              <w:jc w:val="both"/>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11</w:t>
            </w:r>
          </w:p>
        </w:tc>
        <w:tc>
          <w:tcPr>
            <w:tcW w:w="1688" w:type="dxa"/>
            <w:vAlign w:val="center"/>
          </w:tcPr>
          <w:p>
            <w:pPr>
              <w:pStyle w:val="50"/>
              <w:spacing w:before="135"/>
              <w:ind w:left="16"/>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投标人资质条件、能力和信誉</w:t>
            </w:r>
          </w:p>
        </w:tc>
        <w:tc>
          <w:tcPr>
            <w:tcW w:w="6679" w:type="dxa"/>
            <w:vAlign w:val="center"/>
          </w:tcPr>
          <w:p>
            <w:pPr>
              <w:jc w:val="both"/>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688" w:type="dxa"/>
            <w:vAlign w:val="center"/>
          </w:tcPr>
          <w:p>
            <w:pPr>
              <w:pStyle w:val="5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是否接受联合体投标</w:t>
            </w:r>
          </w:p>
        </w:tc>
        <w:tc>
          <w:tcPr>
            <w:tcW w:w="6679" w:type="dxa"/>
            <w:vAlign w:val="center"/>
          </w:tcPr>
          <w:p>
            <w:pP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本项目</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lang w:val="en-US"/>
              </w:rPr>
              <w:t>联合体投标，如组成联合体投标，联合体各方应签订联合体投标协议书，明确联合体牵头人和各方权利义务。</w:t>
            </w:r>
          </w:p>
          <w:p>
            <w:pP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联合体投标的，应满足下列要求：</w:t>
            </w:r>
          </w:p>
          <w:p>
            <w:pP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①联合体组成总数不超过    家；</w:t>
            </w:r>
          </w:p>
          <w:p>
            <w:pP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②联合体间须签订联合体协议，联合体牵头人应由本项目须具有资质单位承担。</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③联合体各方不得再以自己名义单独或加入其他联合体在本项目中参加投标。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费用承担和设计成果补偿</w:t>
            </w:r>
          </w:p>
        </w:tc>
        <w:tc>
          <w:tcPr>
            <w:tcW w:w="6679" w:type="dxa"/>
            <w:vAlign w:val="center"/>
          </w:tcPr>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sym w:font="Wingdings" w:char="00FE"/>
            </w:r>
            <w:r>
              <w:rPr>
                <w:rFonts w:hint="eastAsia" w:asciiTheme="minorEastAsia" w:hAnsiTheme="minorEastAsia" w:eastAsiaTheme="minorEastAsia" w:cstheme="minorEastAsia"/>
                <w:sz w:val="21"/>
                <w:szCs w:val="21"/>
              </w:rPr>
              <w:t>不补偿</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sym w:font="Wingdings 2" w:char="00A3"/>
            </w:r>
            <w:r>
              <w:rPr>
                <w:rFonts w:hint="eastAsia" w:asciiTheme="minorEastAsia" w:hAnsiTheme="minorEastAsia" w:eastAsiaTheme="minorEastAsia" w:cstheme="minorEastAsia"/>
                <w:sz w:val="21"/>
                <w:szCs w:val="21"/>
              </w:rPr>
              <w:t>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踏勘现场</w:t>
            </w:r>
          </w:p>
        </w:tc>
        <w:tc>
          <w:tcPr>
            <w:tcW w:w="6679" w:type="dxa"/>
            <w:vAlign w:val="center"/>
          </w:tcPr>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sym w:font="Wingdings" w:char="00FE"/>
            </w:r>
            <w:r>
              <w:rPr>
                <w:rFonts w:hint="eastAsia" w:asciiTheme="minorEastAsia" w:hAnsiTheme="minorEastAsia" w:eastAsiaTheme="minorEastAsia" w:cstheme="minorEastAsia"/>
                <w:sz w:val="21"/>
                <w:szCs w:val="21"/>
              </w:rPr>
              <w:t>不组织：</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00A3"/>
            </w:r>
            <w:r>
              <w:rPr>
                <w:rFonts w:hint="eastAsia" w:asciiTheme="minorEastAsia" w:hAnsiTheme="minorEastAsia" w:eastAsiaTheme="minorEastAsia" w:cstheme="minorEastAsia"/>
                <w:sz w:val="21"/>
                <w:szCs w:val="21"/>
              </w:rPr>
              <w:t>组织，踏勘时间：/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包</w:t>
            </w:r>
          </w:p>
        </w:tc>
        <w:tc>
          <w:tcPr>
            <w:tcW w:w="6679" w:type="dxa"/>
            <w:vAlign w:val="center"/>
          </w:tcPr>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2" w:char="00A3"/>
            </w:r>
            <w:r>
              <w:rPr>
                <w:rFonts w:hint="eastAsia" w:asciiTheme="minorEastAsia" w:hAnsiTheme="minorEastAsia" w:eastAsiaTheme="minorEastAsia" w:cstheme="minorEastAsia"/>
                <w:sz w:val="21"/>
                <w:szCs w:val="21"/>
              </w:rPr>
              <w:t>不允许</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sym w:font="Wingdings" w:char="00FE"/>
            </w:r>
            <w:r>
              <w:rPr>
                <w:rFonts w:hint="eastAsia" w:asciiTheme="minorEastAsia" w:hAnsiTheme="minorEastAsia" w:eastAsiaTheme="minorEastAsia" w:cstheme="minorEastAsia"/>
                <w:sz w:val="21"/>
                <w:szCs w:val="21"/>
              </w:rPr>
              <w:t>允 许</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说明</w:t>
            </w:r>
            <w:r>
              <w:rPr>
                <w:rFonts w:hint="eastAsia" w:asciiTheme="minorEastAsia" w:hAnsiTheme="minorEastAsia" w:eastAsiaTheme="minorEastAsia" w:cstheme="minorEastAsia"/>
                <w:spacing w:val="15"/>
                <w:sz w:val="21"/>
                <w:szCs w:val="21"/>
              </w:rPr>
              <w:t>：</w:t>
            </w:r>
            <w:r>
              <w:rPr>
                <w:rFonts w:hint="eastAsia" w:asciiTheme="minorEastAsia" w:hAnsiTheme="minorEastAsia" w:eastAsiaTheme="minorEastAsia" w:cstheme="minorEastAsia"/>
                <w:sz w:val="21"/>
                <w:szCs w:val="21"/>
              </w:rPr>
              <w:t>分包内容须经业</w:t>
            </w:r>
            <w:r>
              <w:rPr>
                <w:rFonts w:hint="eastAsia" w:asciiTheme="minorEastAsia" w:hAnsiTheme="minorEastAsia" w:eastAsiaTheme="minorEastAsia" w:cstheme="minorEastAsia"/>
                <w:spacing w:val="15"/>
                <w:sz w:val="21"/>
                <w:szCs w:val="21"/>
              </w:rPr>
              <w:t>主</w:t>
            </w:r>
            <w:r>
              <w:rPr>
                <w:rFonts w:hint="eastAsia" w:asciiTheme="minorEastAsia" w:hAnsiTheme="minorEastAsia" w:eastAsiaTheme="minorEastAsia" w:cstheme="minorEastAsia"/>
                <w:sz w:val="21"/>
                <w:szCs w:val="21"/>
              </w:rPr>
              <w:t>同意可</w:t>
            </w:r>
            <w:r>
              <w:rPr>
                <w:rFonts w:hint="eastAsia" w:asciiTheme="minorEastAsia" w:hAnsiTheme="minorEastAsia" w:eastAsiaTheme="minorEastAsia" w:cstheme="minorEastAsia"/>
                <w:spacing w:val="-14"/>
                <w:sz w:val="21"/>
                <w:szCs w:val="21"/>
              </w:rPr>
              <w:t>以</w:t>
            </w:r>
            <w:r>
              <w:rPr>
                <w:rFonts w:hint="eastAsia" w:asciiTheme="minorEastAsia" w:hAnsiTheme="minorEastAsia" w:eastAsiaTheme="minorEastAsia" w:cstheme="minorEastAsia"/>
                <w:sz w:val="21"/>
                <w:szCs w:val="21"/>
              </w:rPr>
              <w:t>分包给具有相应资质的企业承担。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招标疑问提交时间和疑问答复时间</w:t>
            </w:r>
          </w:p>
        </w:tc>
        <w:tc>
          <w:tcPr>
            <w:tcW w:w="6679" w:type="dxa"/>
            <w:vAlign w:val="center"/>
          </w:tcPr>
          <w:p>
            <w:pPr>
              <w:autoSpaceDE/>
              <w:autoSpaceDN/>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提交疑问时间：请各投标人于 年</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月</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日9:00时前使用电子交易系统“在线提问”功能提出疑问或将疑问以电子邮件形式发送</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邮箱，招标人将对投标人疑问给予解答。</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疑问答复时间： 年</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月</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日下午17：30之前。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17</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在线提出异议的方式</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在线提出异议的方式 提交异议建议使用电子交易系统“在线异议”功能提出异议，且电子交易系统支持（潜在）投标人使用电子印章提出异议。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1688" w:type="dxa"/>
            <w:textDirection w:val="lrTb"/>
            <w:vAlign w:val="center"/>
          </w:tcPr>
          <w:p>
            <w:pPr>
              <w:jc w:val="both"/>
              <w:rPr>
                <w:rFonts w:hint="eastAsia" w:asciiTheme="minorEastAsia" w:hAnsiTheme="minorEastAsia" w:eastAsiaTheme="minorEastAsia" w:cstheme="minorEastAsia"/>
                <w:b/>
                <w:bCs/>
                <w:sz w:val="21"/>
                <w:szCs w:val="21"/>
              </w:rPr>
            </w:pPr>
            <w:r>
              <w:rPr>
                <w:rFonts w:hint="eastAsia" w:ascii="宋体" w:hAnsi="宋体" w:eastAsia="宋体" w:cs="宋体"/>
                <w:color w:val="000000"/>
                <w:highlight w:val="none"/>
                <w:lang w:val="en-US" w:eastAsia="zh-CN"/>
              </w:rPr>
              <w:t>在线投诉</w:t>
            </w:r>
          </w:p>
        </w:tc>
        <w:tc>
          <w:tcPr>
            <w:tcW w:w="6679" w:type="dxa"/>
            <w:textDirection w:val="lrTb"/>
            <w:vAlign w:val="center"/>
          </w:tcPr>
          <w:p>
            <w:pPr>
              <w:jc w:val="both"/>
              <w:rPr>
                <w:rFonts w:hint="eastAsia" w:ascii="宋体" w:hAnsi="宋体" w:eastAsia="宋体" w:cs="宋体"/>
                <w:color w:val="000000"/>
                <w:highlight w:val="none"/>
              </w:rPr>
            </w:pPr>
            <w:r>
              <w:rPr>
                <w:rFonts w:hint="eastAsia" w:ascii="宋体" w:hAnsi="宋体" w:eastAsia="宋体" w:cs="宋体"/>
                <w:color w:val="000000"/>
                <w:highlight w:val="none"/>
              </w:rPr>
              <w:t>投诉人应当在知道或者应当知道其权益受到侵害之日起十日内向监管部门在线提出投诉。</w:t>
            </w:r>
          </w:p>
          <w:p>
            <w:pPr>
              <w:jc w:val="both"/>
              <w:rPr>
                <w:rFonts w:hint="eastAsia" w:asciiTheme="minorEastAsia" w:hAnsiTheme="minorEastAsia" w:eastAsiaTheme="minorEastAsia" w:cstheme="minorEastAsia"/>
                <w:b/>
                <w:bCs/>
                <w:sz w:val="21"/>
                <w:szCs w:val="21"/>
              </w:rPr>
            </w:pPr>
            <w:r>
              <w:rPr>
                <w:rFonts w:hint="eastAsia" w:ascii="宋体" w:hAnsi="宋体" w:eastAsia="宋体" w:cs="宋体"/>
                <w:color w:val="000000"/>
                <w:highlight w:val="none"/>
              </w:rPr>
              <w:t>在线投诉渠道：淮北市公共资源电子交易系统网址：http://60.172.200.230:4454/HBTPbidder_hb/login2.aspx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lang w:val="en-US" w:eastAsia="zh-CN"/>
              </w:rPr>
              <w:t>9</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招标文件的修改方式</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请各投标单位于开标之日前务必浏览该网站发布的相关信息。招标文件的澄清、修改、异议答复等将在淮北市公共资源交易中心网站上发布。所有下载招标文件的潜在投标人有义务在网上自行查询，无需以书面形式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1688"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投标有效期</w:t>
            </w:r>
          </w:p>
        </w:tc>
        <w:tc>
          <w:tcPr>
            <w:tcW w:w="6679" w:type="dxa"/>
            <w:vAlign w:val="center"/>
          </w:tcPr>
          <w:p>
            <w:pPr>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lang w:val="en-US"/>
              </w:rPr>
              <w:t>120</w:t>
            </w:r>
            <w:r>
              <w:rPr>
                <w:rFonts w:hint="eastAsia" w:asciiTheme="minorEastAsia" w:hAnsiTheme="minorEastAsia" w:eastAsiaTheme="minorEastAsia" w:cstheme="minorEastAsia"/>
                <w:sz w:val="21"/>
                <w:szCs w:val="21"/>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lang w:val="en-US" w:eastAsia="zh-CN"/>
              </w:rPr>
              <w:t>1</w:t>
            </w:r>
          </w:p>
        </w:tc>
        <w:tc>
          <w:tcPr>
            <w:tcW w:w="1688"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投标保证金</w:t>
            </w:r>
          </w:p>
        </w:tc>
        <w:tc>
          <w:tcPr>
            <w:tcW w:w="6679" w:type="dxa"/>
            <w:vAlign w:val="center"/>
          </w:tcPr>
          <w:p>
            <w:pPr>
              <w:autoSpaceDE/>
              <w:autoSpaceDN/>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1、是否要求投标人递交投标保证金：□不要求☑要求</w:t>
            </w:r>
          </w:p>
          <w:p>
            <w:pPr>
              <w:autoSpaceDE/>
              <w:autoSpaceDN/>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2、投标保证金金额：  万元人民币</w:t>
            </w:r>
          </w:p>
          <w:p>
            <w:pPr>
              <w:autoSpaceDE/>
              <w:autoSpaceDN/>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3、投标保证金形式：</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第一类：☑银行转账☑银行汇款☑网银</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第二类：☑纸质银行保函</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第三类：☑电子保函（银行、保险、担保等）。</w:t>
            </w:r>
          </w:p>
          <w:p>
            <w:pPr>
              <w:autoSpaceDE/>
              <w:autoSpaceDN/>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4、投标保证金提交方式：</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（1）如采用第一类形式：</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投标保证金专用账户的户名、账号、开户行：</w:t>
            </w:r>
          </w:p>
          <w:p>
            <w:pPr>
              <w:autoSpaceDE/>
              <w:autoSpaceDN/>
              <w:spacing w:line="360" w:lineRule="auto"/>
              <w:ind w:firstLine="420" w:firstLineChars="2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建行:</w:t>
            </w:r>
            <w:r>
              <w:rPr>
                <w:rFonts w:asciiTheme="minorEastAsia" w:hAnsiTheme="minorEastAsia" w:eastAsiaTheme="minorEastAsia" w:cstheme="minorEastAsia"/>
                <w:sz w:val="21"/>
                <w:szCs w:val="21"/>
                <w:lang w:val="en-US"/>
              </w:rPr>
              <w:t xml:space="preserve"> </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开户名:淮北市公共资源交易中心</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开户行:建行淮北西城支行</w:t>
            </w:r>
          </w:p>
          <w:p>
            <w:pPr>
              <w:autoSpaceDE/>
              <w:autoSpaceDN/>
              <w:spacing w:line="360" w:lineRule="auto"/>
              <w:ind w:firstLine="420" w:firstLineChars="200"/>
              <w:rPr>
                <w:rFonts w:asciiTheme="minorEastAsia" w:hAnsiTheme="minorEastAsia" w:eastAsiaTheme="minorEastAsia" w:cstheme="minorEastAsia"/>
                <w:sz w:val="21"/>
                <w:szCs w:val="21"/>
              </w:rPr>
            </w:pPr>
          </w:p>
          <w:p>
            <w:pPr>
              <w:autoSpaceDE/>
              <w:autoSpaceDN/>
              <w:spacing w:line="360" w:lineRule="auto"/>
              <w:ind w:firstLine="420" w:firstLineChars="2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工商银行:</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开户名:淮北市公共资源交易中心</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开户行:工行淮北淮海路支行</w:t>
            </w:r>
          </w:p>
          <w:p>
            <w:pPr>
              <w:autoSpaceDE/>
              <w:autoSpaceDN/>
              <w:spacing w:line="360" w:lineRule="auto"/>
              <w:ind w:firstLine="420" w:firstLineChars="200"/>
              <w:rPr>
                <w:rFonts w:asciiTheme="minorEastAsia" w:hAnsiTheme="minorEastAsia" w:eastAsiaTheme="minorEastAsia" w:cstheme="minorEastAsia"/>
                <w:sz w:val="21"/>
                <w:szCs w:val="21"/>
              </w:rPr>
            </w:pP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农行:</w:t>
            </w:r>
            <w:r>
              <w:rPr>
                <w:rFonts w:asciiTheme="minorEastAsia" w:hAnsiTheme="minorEastAsia" w:eastAsiaTheme="minorEastAsia" w:cstheme="minorEastAsia"/>
                <w:sz w:val="21"/>
                <w:szCs w:val="21"/>
              </w:rPr>
              <w:t xml:space="preserve"> </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开户名:淮北市公共资源交易中心</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开户行:中国农业银行淮北分行营业部</w:t>
            </w:r>
          </w:p>
          <w:p>
            <w:pPr>
              <w:autoSpaceDE/>
              <w:autoSpaceDN/>
              <w:spacing w:line="360" w:lineRule="auto"/>
              <w:ind w:firstLine="420" w:firstLineChars="200"/>
              <w:rPr>
                <w:rFonts w:asciiTheme="minorEastAsia" w:hAnsiTheme="minorEastAsia" w:eastAsiaTheme="minorEastAsia" w:cstheme="minorEastAsia"/>
                <w:sz w:val="21"/>
                <w:szCs w:val="21"/>
              </w:rPr>
            </w:pP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徽商银行:</w:t>
            </w:r>
            <w:r>
              <w:rPr>
                <w:rFonts w:asciiTheme="minorEastAsia" w:hAnsiTheme="minorEastAsia" w:eastAsiaTheme="minorEastAsia" w:cstheme="minorEastAsia"/>
                <w:sz w:val="21"/>
                <w:szCs w:val="21"/>
              </w:rPr>
              <w:t xml:space="preserve"> </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开户名:淮北市公共资源交易中心</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开户行:徽商银行淮北相阳支行</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②投标保证金必须从投标人的基本账户足额转入招标公告指定账户。投标保证金必须在投标截止时间前到达指定账户，由于投标人迟汇、错汇、误汇等未按规定提交投标保证金而引起的风险由投标人自负。</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如采用第二类形式：①采用纸质银行保函的，应为投标人基本账户开户行出具的见索即付无条件银行保函；②投标人在投标文件中必须提供【基本账户开户许可证】复印件（或影印件）（或投标企业基本账户开户银行的基本存款账户信息），并按格式承诺真实有效。同时将纸质银行保函复印件(或影印件)提供在投标文件中。③投标人在投标文件中必须提供明确有效的查询途径（网址链接及查询方式），否则该纸质银行保函无效。④中标候选人须在中标候选人公示期满后3 个工作日内，将其开具至本项目的纸质银行保函原件提交招标人，且原件须与投标文件中提供的复印件（或影印件）一致，如存在未按规定提交或提交内容不一致的，招标人有权取消其中标候选人资格；发现弄虚作假的，招标人将报监管部门依法处理。</w:t>
            </w:r>
          </w:p>
          <w:p>
            <w:pPr>
              <w:autoSpaceDE/>
              <w:autoSpaceDN/>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如采用第三类形式：投标人须在投标文件递交截止时间前提供与淮北市公共资源交易中心交易系统对接的电子保函，否则视为投标保证金未按规定要求缴纳，由评标委员会否决其投标。</w:t>
            </w:r>
          </w:p>
          <w:p>
            <w:pPr>
              <w:autoSpaceDE/>
              <w:autoSpaceDN/>
              <w:spacing w:line="360" w:lineRule="auto"/>
              <w:ind w:firstLine="420" w:firstLineChars="200"/>
              <w:rPr>
                <w:rFonts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sz w:val="21"/>
                <w:szCs w:val="21"/>
              </w:rPr>
              <w:t>注：采用第二类或第三类递交投标保证金的保函、保险、担保等有效期不得少于投标有效期。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lang w:val="en-US" w:eastAsia="zh-CN"/>
              </w:rPr>
              <w:t>2</w:t>
            </w:r>
          </w:p>
        </w:tc>
        <w:tc>
          <w:tcPr>
            <w:tcW w:w="1688" w:type="dxa"/>
            <w:vAlign w:val="center"/>
          </w:tcPr>
          <w:p>
            <w:pPr>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投标文件的递交</w:t>
            </w:r>
          </w:p>
        </w:tc>
        <w:tc>
          <w:tcPr>
            <w:tcW w:w="6679" w:type="dxa"/>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rPr>
              <w:t>1、本项目采用网上不见面开标。</w:t>
            </w:r>
            <w:r>
              <w:rPr>
                <w:rFonts w:hint="eastAsia" w:asciiTheme="minorEastAsia" w:hAnsiTheme="minorEastAsia" w:eastAsiaTheme="minorEastAsia" w:cstheme="minorEastAsia"/>
                <w:sz w:val="21"/>
                <w:szCs w:val="21"/>
              </w:rPr>
              <w:t>本项目开标时，投标人在互联网上参与开标，并解密其投标文件，无需委派法定代表人或其委托代理人（授权委托人）参加现场开标，无需携带数字证书在开标现场（投标时）对其投标文件解密，无需现场递交投标资料，原涉及评分的证书、业绩证明材料需要提供原件的，现无需提供原件。本项目招标文件中要求各潜在投标人提供的原件，无需现场递交，以电子文件的形式上传。投标人的投标文件不会因未委派法定代表人或其委托代理人（授权委托人）参加开标被认定为无效投标。</w:t>
            </w:r>
          </w:p>
          <w:p>
            <w:pP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lang w:val="en-US" w:bidi="ar-SA"/>
              </w:rPr>
              <w:t>2、投标人应在投标截止时间起</w:t>
            </w:r>
            <w:r>
              <w:rPr>
                <w:rFonts w:hint="eastAsia" w:asciiTheme="minorEastAsia" w:hAnsiTheme="minorEastAsia" w:eastAsiaTheme="minorEastAsia" w:cstheme="minorEastAsia"/>
                <w:b/>
                <w:bCs/>
                <w:sz w:val="21"/>
                <w:szCs w:val="21"/>
                <w:lang w:val="en-US" w:bidi="ar-SA"/>
              </w:rPr>
              <w:t>30分钟</w:t>
            </w:r>
            <w:r>
              <w:rPr>
                <w:rFonts w:hint="eastAsia" w:asciiTheme="minorEastAsia" w:hAnsiTheme="minorEastAsia" w:eastAsiaTheme="minorEastAsia" w:cstheme="minorEastAsia"/>
                <w:sz w:val="21"/>
                <w:szCs w:val="21"/>
                <w:lang w:val="en-US" w:bidi="ar-SA"/>
              </w:rPr>
              <w:t>内，通过互联网解密投标文件，超过</w:t>
            </w:r>
            <w:r>
              <w:rPr>
                <w:rFonts w:hint="eastAsia" w:asciiTheme="minorEastAsia" w:hAnsiTheme="minorEastAsia" w:eastAsiaTheme="minorEastAsia" w:cstheme="minorEastAsia"/>
                <w:b/>
                <w:bCs/>
                <w:sz w:val="21"/>
                <w:szCs w:val="21"/>
                <w:lang w:val="en-US" w:bidi="ar-SA"/>
              </w:rPr>
              <w:t>30分钟</w:t>
            </w:r>
            <w:r>
              <w:rPr>
                <w:rFonts w:hint="eastAsia" w:asciiTheme="minorEastAsia" w:hAnsiTheme="minorEastAsia" w:eastAsiaTheme="minorEastAsia" w:cstheme="minorEastAsia"/>
                <w:sz w:val="21"/>
                <w:szCs w:val="21"/>
                <w:lang w:val="en-US" w:bidi="ar-SA"/>
              </w:rPr>
              <w:t>未解密的投标文件，将被退回，不进入评标程序。（以交易系统时间为准）。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近年完成的类似项目的年份要求</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20  年  月  日至今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4</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是否允许递交备选投标方案</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5</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投标文件</w:t>
            </w:r>
          </w:p>
        </w:tc>
        <w:tc>
          <w:tcPr>
            <w:tcW w:w="6679" w:type="dxa"/>
            <w:vAlign w:val="center"/>
          </w:tcPr>
          <w:p>
            <w:pPr>
              <w:rPr>
                <w:rFonts w:asciiTheme="minorEastAsia" w:hAnsiTheme="minorEastAsia" w:eastAsiaTheme="minorEastAsia" w:cstheme="minorEastAsia"/>
                <w:b/>
                <w:sz w:val="21"/>
                <w:szCs w:val="21"/>
                <w:u w:val="single"/>
              </w:rPr>
            </w:pPr>
            <w:r>
              <w:rPr>
                <w:rFonts w:hint="eastAsia" w:asciiTheme="minorEastAsia" w:hAnsiTheme="minorEastAsia" w:eastAsiaTheme="minorEastAsia" w:cstheme="minorEastAsia"/>
                <w:b/>
                <w:sz w:val="21"/>
                <w:szCs w:val="21"/>
                <w:u w:val="single"/>
              </w:rPr>
              <w:t>投标人无需递交纸质投标文件，无需到开标现场参加开标会。</w:t>
            </w:r>
          </w:p>
          <w:p>
            <w:pPr>
              <w:rPr>
                <w:rFonts w:asciiTheme="minorEastAsia" w:hAnsiTheme="minorEastAsia" w:eastAsiaTheme="minorEastAsia" w:cstheme="minorEastAsia"/>
                <w:b/>
                <w:sz w:val="21"/>
                <w:szCs w:val="21"/>
                <w:u w:val="single"/>
              </w:rPr>
            </w:pPr>
            <w:r>
              <w:rPr>
                <w:rFonts w:hint="eastAsia" w:asciiTheme="minorEastAsia" w:hAnsiTheme="minorEastAsia" w:eastAsiaTheme="minorEastAsia" w:cstheme="minorEastAsia"/>
                <w:b/>
                <w:sz w:val="21"/>
                <w:szCs w:val="21"/>
                <w:u w:val="single"/>
              </w:rPr>
              <w:t>√加密电子投标文件须在投标截止时间前登陆淮北市公共资源交易电子交易系统(http://60.172.200.230:4454/HBTPbidder_hb/login2.aspx)--&gt;使用 CA 锁登陆》点击“业务系统”-“工程业务”-“上传投标文件”。</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u w:val="single"/>
              </w:rPr>
              <w:t>注：中标人在领取中标通知书前向招标人或招标代理机构提供与加密的电子投标文件一致的纸质文本一正四副和未加密的电子投标文件光盘一张。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6</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递交投标文件地点</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淮北市公共资源交易中心开标</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rPr>
              <w:t>厅</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（淮北市人民路197号，孟山路与人民路交叉口西南角，原淮北市招商大厦2楼）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7</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是否退还投标文件</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sym w:font="Wingdings" w:char="00FE"/>
            </w:r>
            <w:r>
              <w:rPr>
                <w:rFonts w:hint="eastAsia" w:asciiTheme="minorEastAsia" w:hAnsiTheme="minorEastAsia" w:eastAsiaTheme="minorEastAsia" w:cs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2"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8</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开标时间（投标截止时间）、开标地点、开标方式</w:t>
            </w:r>
          </w:p>
        </w:tc>
        <w:tc>
          <w:tcPr>
            <w:tcW w:w="667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开标时间（投标截止时间）：</w:t>
            </w:r>
            <w:r>
              <w:rPr>
                <w:rFonts w:hint="eastAsia" w:asciiTheme="minorEastAsia" w:hAnsiTheme="minorEastAsia" w:eastAsiaTheme="minorEastAsia" w:cstheme="minorEastAsia"/>
                <w:sz w:val="21"/>
                <w:szCs w:val="21"/>
              </w:rPr>
              <w:t xml:space="preserve">   年</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日9:00（北京时间）</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开标地点</w:t>
            </w:r>
            <w:r>
              <w:rPr>
                <w:rFonts w:hint="eastAsia" w:asciiTheme="minorEastAsia" w:hAnsiTheme="minorEastAsia" w:eastAsiaTheme="minorEastAsia" w:cstheme="minorEastAsia"/>
                <w:sz w:val="21"/>
                <w:szCs w:val="21"/>
              </w:rPr>
              <w:t>：淮北市公共资源交易中心开标</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rPr>
              <w:t>厅</w:t>
            </w:r>
          </w:p>
          <w:p>
            <w:pPr>
              <w:pStyle w:val="2"/>
              <w:spacing w:after="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开标方式：本项目采用网上不见面开标 </w:t>
            </w:r>
          </w:p>
          <w:p>
            <w:pPr>
              <w:pStyle w:val="2"/>
              <w:spacing w:after="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1.询标通知、开标记录表、投标人废标通知、资格审查不通过人员名单等，通过网员系统自行查询。 </w:t>
            </w:r>
          </w:p>
          <w:p>
            <w:pPr>
              <w:pStyle w:val="2"/>
              <w:spacing w:after="0"/>
              <w:ind w:left="0" w:firstLine="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2.投标人须在投标截止时间之前使用 CA 锁自行登陆不见面开标大厅，并在解密指令发出后 30 分钟之内完成解密，投标人未按规定完成解密，视为放弃投标。投标人在项目开、评标期间应保持在线状态，授权委托人应保持电话畅通，随时通过交易系统接受评标委员会发出的询标等信息，并在规定时间内答复。技术支持咨询电话：400-998-0000。 </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不见面开标大厅登录方式：淮北市公共资源交易中心网站，选择不见面开标大厅登录。具体操作详见中心网站交易服务-资源下载</w:t>
            </w:r>
            <w:r>
              <w:rPr>
                <w:rFonts w:hint="eastAsia" w:asciiTheme="minorEastAsia" w:hAnsiTheme="minorEastAsia" w:eastAsiaTheme="minorEastAsia" w:cstheme="minorEastAsia"/>
                <w:b/>
                <w:bCs/>
                <w:sz w:val="21"/>
                <w:szCs w:val="21"/>
                <w:lang w:val="en-US"/>
              </w:rPr>
              <w:t xml:space="preserve"> </w:t>
            </w:r>
            <w:r>
              <w:rPr>
                <w:rFonts w:hint="eastAsia" w:asciiTheme="minorEastAsia" w:hAnsiTheme="minorEastAsia" w:eastAsiaTheme="minorEastAsia" w:cstheme="minorEastAsia"/>
                <w:b/>
                <w:bCs/>
                <w:sz w:val="21"/>
                <w:szCs w:val="21"/>
              </w:rPr>
              <w:t>栏目的《淮北市不见面开标大厅-操作手册（投标人）》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lang w:val="en-US" w:eastAsia="zh-CN"/>
              </w:rPr>
              <w:t>9</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注意事项</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投标人无需到开标现场参加开标会。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915"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30</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评标委员会的</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组建</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评标由招标人依法组建的评标委员会负责，评标委员会由招标人的代表和有关技术、经济等方面的专家组成，成员人数为五人或五人以上单数。评标委员会的专家成员从安徽省评标专家库中随机抽取的方式确定。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91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1</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是否授权评标委员会确定中标人</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否，推荐的中标候选人数：</w:t>
            </w:r>
            <w:r>
              <w:rPr>
                <w:rFonts w:hint="eastAsia" w:asciiTheme="minorEastAsia" w:hAnsiTheme="minorEastAsia" w:eastAsiaTheme="minorEastAsia" w:cstheme="minorEastAsia"/>
                <w:sz w:val="21"/>
                <w:szCs w:val="21"/>
                <w:lang w:val="en-US"/>
              </w:rPr>
              <w:t>1-3</w:t>
            </w:r>
            <w:r>
              <w:rPr>
                <w:rFonts w:hint="eastAsia" w:asciiTheme="minorEastAsia" w:hAnsiTheme="minorEastAsia" w:eastAsiaTheme="minorEastAsia" w:cstheme="minorEastAsia"/>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2</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中标候选人公示媒介</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淮北市公共资源交易中心网站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3</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招标代理费</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4</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履约担保</w:t>
            </w:r>
          </w:p>
        </w:tc>
        <w:tc>
          <w:tcPr>
            <w:tcW w:w="6679" w:type="dxa"/>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履约保证金</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（1）形式：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银行转账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银行电汇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银行保函（纸质、电子均支持）</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担保机构担保 </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sym w:font="Wingdings" w:char="00FE"/>
            </w:r>
            <w:r>
              <w:rPr>
                <w:rFonts w:hint="eastAsia" w:asciiTheme="minorEastAsia" w:hAnsiTheme="minorEastAsia" w:eastAsiaTheme="minorEastAsia" w:cstheme="minorEastAsia"/>
                <w:sz w:val="21"/>
                <w:szCs w:val="21"/>
              </w:rPr>
              <w:t>保证保险</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比例/金额：中标合同金额的</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％元。</w:t>
            </w:r>
          </w:p>
          <w:p>
            <w:pPr>
              <w:jc w:val="both"/>
            </w:pPr>
            <w:r>
              <w:rPr>
                <w:rFonts w:hint="eastAsia" w:asciiTheme="minorEastAsia" w:hAnsiTheme="minorEastAsia" w:eastAsiaTheme="minorEastAsia" w:cstheme="minorEastAsia"/>
                <w:sz w:val="21"/>
                <w:szCs w:val="21"/>
              </w:rPr>
              <w:t>注：招标人在收取中标人履约保证金时，招标人需提供工程款支付担保。招标人工程款支付担保的形式、金额要与中标人提供的履约保证金担保形式、金额一样，对等。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5</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质量保证金</w:t>
            </w:r>
          </w:p>
        </w:tc>
        <w:tc>
          <w:tcPr>
            <w:tcW w:w="6679" w:type="dxa"/>
            <w:vAlign w:val="center"/>
          </w:tcPr>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1、在工程项目竣工前，已经缴纳履约保证金的，不同时预留工程质量保证金。</w:t>
            </w:r>
          </w:p>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2、质量保证金采用以下缴纳方式均可：</w:t>
            </w:r>
          </w:p>
          <w:p>
            <w:pPr>
              <w:pStyle w:val="5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（1）形式： ☑银行保函 ☑担保机构担保 ☑银行转账 ☑银行电汇  ☑保证保险  </w:t>
            </w:r>
          </w:p>
          <w:p>
            <w:pPr>
              <w:pStyle w:val="5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（2）比例/金额：中标合同金额的</w:t>
            </w: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6</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最高限价及计算方法</w:t>
            </w:r>
          </w:p>
        </w:tc>
        <w:tc>
          <w:tcPr>
            <w:tcW w:w="6679" w:type="dxa"/>
            <w:vAlign w:val="center"/>
          </w:tcPr>
          <w:p>
            <w:pPr>
              <w:pStyle w:val="50"/>
              <w:jc w:val="both"/>
              <w:rPr>
                <w:rFonts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7</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工程预（结）算相关要求</w:t>
            </w:r>
          </w:p>
        </w:tc>
        <w:tc>
          <w:tcPr>
            <w:tcW w:w="6679" w:type="dxa"/>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1、施工图预算计价依据：</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1.1</w:t>
            </w:r>
            <w:r>
              <w:rPr>
                <w:rFonts w:hint="eastAsia" w:asciiTheme="minorEastAsia" w:hAnsiTheme="minorEastAsia" w:eastAsiaTheme="minorEastAsia" w:cstheme="minorEastAsia"/>
                <w:sz w:val="21"/>
                <w:szCs w:val="21"/>
              </w:rPr>
              <w:t>本项目施工图预算编制依据</w:t>
            </w:r>
            <w:r>
              <w:rPr>
                <w:rFonts w:hint="eastAsia" w:asciiTheme="minorEastAsia" w:hAnsiTheme="minorEastAsia" w:eastAsiaTheme="minorEastAsia" w:cstheme="minorEastAsia"/>
                <w:sz w:val="21"/>
                <w:szCs w:val="21"/>
                <w:lang w:val="en-US"/>
              </w:rPr>
              <w:t>20</w:t>
            </w:r>
            <w:r>
              <w:rPr>
                <w:rFonts w:asciiTheme="minorEastAsia" w:hAnsiTheme="minorEastAsia" w:eastAsiaTheme="minorEastAsia" w:cstheme="minorEastAsia"/>
                <w:sz w:val="21"/>
                <w:szCs w:val="21"/>
                <w:lang w:val="en-US"/>
              </w:rPr>
              <w:t>18</w:t>
            </w:r>
            <w:r>
              <w:rPr>
                <w:rFonts w:hint="eastAsia" w:asciiTheme="minorEastAsia" w:hAnsiTheme="minorEastAsia" w:eastAsiaTheme="minorEastAsia" w:cstheme="minorEastAsia"/>
                <w:sz w:val="21"/>
                <w:szCs w:val="21"/>
              </w:rPr>
              <w:t>版安徽省建设工程计价依据编制；</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1.2</w:t>
            </w:r>
            <w:r>
              <w:rPr>
                <w:rFonts w:hint="eastAsia" w:asciiTheme="minorEastAsia" w:hAnsiTheme="minorEastAsia" w:eastAsiaTheme="minorEastAsia" w:cstheme="minorEastAsia"/>
                <w:sz w:val="21"/>
                <w:szCs w:val="21"/>
              </w:rPr>
              <w:t xml:space="preserve">根据安徽省建设工程造价管理总站文件《关于调整我省现行建设工程计价依据增值税税率的通知》（建标【2020】7号）要求； </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本工程项目所涉及的经监理及业主审核批准的施工组织设计和施工方案以及所采用的施工机械；</w:t>
            </w:r>
          </w:p>
          <w:p>
            <w:pPr>
              <w:autoSpaceDE/>
              <w:autoSpaceDN/>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编制</w:t>
            </w:r>
            <w:r>
              <w:rPr>
                <w:rFonts w:hint="eastAsia" w:asciiTheme="minorEastAsia" w:hAnsiTheme="minorEastAsia" w:eastAsiaTheme="minorEastAsia" w:cstheme="minorEastAsia"/>
                <w:sz w:val="21"/>
                <w:szCs w:val="21"/>
                <w:lang w:val="en-US"/>
              </w:rPr>
              <w:t>施工图预算</w:t>
            </w:r>
            <w:r>
              <w:rPr>
                <w:rFonts w:hint="eastAsia" w:asciiTheme="minorEastAsia" w:hAnsiTheme="minorEastAsia" w:eastAsiaTheme="minorEastAsia" w:cstheme="minorEastAsia"/>
                <w:sz w:val="21"/>
                <w:szCs w:val="21"/>
              </w:rPr>
              <w:t>所涉及材料价格按编制</w:t>
            </w:r>
            <w:r>
              <w:rPr>
                <w:rFonts w:hint="eastAsia" w:asciiTheme="minorEastAsia" w:hAnsiTheme="minorEastAsia" w:eastAsiaTheme="minorEastAsia" w:cstheme="minorEastAsia"/>
                <w:sz w:val="21"/>
                <w:szCs w:val="21"/>
                <w:lang w:val="en-US"/>
              </w:rPr>
              <w:t>施工图预算</w:t>
            </w:r>
            <w:r>
              <w:rPr>
                <w:rFonts w:hint="eastAsia" w:asciiTheme="minorEastAsia" w:hAnsiTheme="minorEastAsia" w:eastAsiaTheme="minorEastAsia" w:cstheme="minorEastAsia"/>
                <w:sz w:val="21"/>
                <w:szCs w:val="21"/>
              </w:rPr>
              <w:t>当月执行信息价计入</w:t>
            </w:r>
            <w:r>
              <w:rPr>
                <w:rFonts w:hint="eastAsia" w:asciiTheme="minorEastAsia" w:hAnsiTheme="minorEastAsia" w:eastAsiaTheme="minorEastAsia" w:cstheme="minorEastAsia"/>
                <w:sz w:val="21"/>
                <w:szCs w:val="21"/>
                <w:lang w:val="en-US"/>
              </w:rPr>
              <w:t>；其他</w:t>
            </w:r>
            <w:r>
              <w:rPr>
                <w:rFonts w:hint="eastAsia" w:asciiTheme="minorEastAsia" w:hAnsiTheme="minorEastAsia" w:eastAsiaTheme="minorEastAsia" w:cstheme="minorEastAsia"/>
                <w:sz w:val="21"/>
                <w:szCs w:val="21"/>
              </w:rPr>
              <w:t>信息价没有的主要材料价格，由造价咨询机构在专业的造价平台查询（比如广材网、造价通等</w:t>
            </w:r>
            <w:r>
              <w:rPr>
                <w:rFonts w:hint="eastAsia" w:asciiTheme="minorEastAsia" w:hAnsiTheme="minorEastAsia" w:eastAsiaTheme="minorEastAsia" w:cstheme="minorEastAsia"/>
                <w:sz w:val="21"/>
                <w:szCs w:val="21"/>
                <w:lang w:val="en-US"/>
              </w:rPr>
              <w:t>其他方式</w:t>
            </w:r>
            <w:r>
              <w:rPr>
                <w:rFonts w:hint="eastAsia" w:asciiTheme="minorEastAsia" w:hAnsiTheme="minorEastAsia" w:eastAsiaTheme="minorEastAsia" w:cstheme="minorEastAsia"/>
                <w:sz w:val="21"/>
                <w:szCs w:val="21"/>
              </w:rPr>
              <w:t>）或者由建设单位组织本项目的造价咨询机构、监理等相关单位及中标人共同询价确定（询价时间节点按照各区段施工的时间及时进行，询价确定的材料价格不参与下浮，采保费按照安徽省及淮北市现行规定执行）。</w:t>
            </w:r>
          </w:p>
          <w:p>
            <w:pPr>
              <w:autoSpaceDE/>
              <w:autoSpaceDN/>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1.5材料价格调整的计算方法：参照淮住建【</w:t>
            </w:r>
            <w:r>
              <w:rPr>
                <w:rFonts w:hint="eastAsia" w:asciiTheme="minorEastAsia" w:hAnsiTheme="minorEastAsia" w:eastAsiaTheme="minorEastAsia" w:cstheme="minorEastAsia"/>
                <w:sz w:val="21"/>
                <w:szCs w:val="21"/>
                <w:lang w:val="en-US"/>
              </w:rPr>
              <w:t>2021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116号《关于工程竣工结算计价中价差调整的补充通知》精神，应充分考虑施工期间各类建材的市场风险、社会环境影响和国家政策性调整风险等因素，</w:t>
            </w:r>
            <w:r>
              <w:rPr>
                <w:rFonts w:hint="eastAsia" w:asciiTheme="minorEastAsia" w:hAnsiTheme="minorEastAsia" w:eastAsiaTheme="minorEastAsia" w:cstheme="minorEastAsia"/>
                <w:b/>
                <w:bCs/>
                <w:sz w:val="21"/>
                <w:szCs w:val="21"/>
                <w:u w:val="single"/>
              </w:rPr>
              <w:t xml:space="preserve">        </w:t>
            </w:r>
            <w:r>
              <w:rPr>
                <w:rFonts w:hint="eastAsia" w:asciiTheme="minorEastAsia" w:hAnsiTheme="minorEastAsia" w:eastAsiaTheme="minorEastAsia" w:cstheme="minorEastAsia"/>
                <w:sz w:val="21"/>
                <w:szCs w:val="21"/>
              </w:rPr>
              <w:t>；因发包人原因导致的工期延误的，按以上原则调整。</w:t>
            </w:r>
          </w:p>
          <w:p>
            <w:pPr>
              <w:autoSpaceDE/>
              <w:autoSpaceDN/>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因承包人原因导致的工期延误的，材料价格上涨的，不予调整，材料价格下跌的，按照下跌后的材料价格执行。</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设计图纸和招标文件，及国家、地方现行规范；</w:t>
            </w:r>
          </w:p>
          <w:p>
            <w:pPr>
              <w:snapToGrid w:val="0"/>
              <w:jc w:val="both"/>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1.7</w:t>
            </w:r>
            <w:r>
              <w:rPr>
                <w:rFonts w:hint="eastAsia" w:asciiTheme="minorEastAsia" w:hAnsiTheme="minorEastAsia" w:eastAsiaTheme="minorEastAsia" w:cstheme="minorEastAsia"/>
                <w:sz w:val="21"/>
                <w:szCs w:val="21"/>
              </w:rPr>
              <w:t>本项目税金采用增值税计算方式，执行相关“营改增”规定，增值税税率为  %。项目实施过程中，如有新政策按新的政策规定执行。在项目造价编制过程中，计价规范或以上定额文件或造价管理文件或人工费文件等有更新时，按法律法规规范规定执行最新文件。</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、工程施工图预算编制有关约定:</w:t>
            </w:r>
          </w:p>
          <w:p>
            <w:pPr>
              <w:snapToGrid w:val="0"/>
              <w:jc w:val="both"/>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2.1、</w:t>
            </w:r>
            <w:r>
              <w:rPr>
                <w:rFonts w:hint="eastAsia" w:asciiTheme="minorEastAsia" w:hAnsiTheme="minorEastAsia" w:eastAsiaTheme="minorEastAsia" w:cstheme="minorEastAsia"/>
                <w:sz w:val="21"/>
                <w:szCs w:val="21"/>
                <w:lang w:val="en-US"/>
              </w:rPr>
              <w:t>施工图审查合格后，该项目的建筑安装工程费由招标代理机构编制施工图预算。</w:t>
            </w:r>
            <w:r>
              <w:rPr>
                <w:rFonts w:hint="eastAsia" w:asciiTheme="minorEastAsia" w:hAnsiTheme="minorEastAsia" w:eastAsiaTheme="minorEastAsia" w:cstheme="minorEastAsia"/>
                <w:b/>
                <w:bCs/>
                <w:sz w:val="21"/>
                <w:szCs w:val="21"/>
                <w:lang w:val="en-US"/>
              </w:rPr>
              <w:t>原则上本项目工程的施工图预算不得超过建安工程费乘以中标费率。</w:t>
            </w:r>
            <w:r>
              <w:rPr>
                <w:rFonts w:hint="eastAsia" w:asciiTheme="minorEastAsia" w:hAnsiTheme="minorEastAsia" w:eastAsiaTheme="minorEastAsia" w:cstheme="minorEastAsia"/>
                <w:sz w:val="21"/>
                <w:szCs w:val="21"/>
                <w:lang w:val="en-US"/>
              </w:rPr>
              <w:t>因发包人原因，对规划设计方案进行调整引起投资增加、减少的除外。施工图审图合格后方可进行下一步。</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2.2、各区段施工图预算，由</w:t>
            </w:r>
            <w:r>
              <w:rPr>
                <w:rFonts w:hint="eastAsia" w:asciiTheme="minorEastAsia" w:hAnsiTheme="minorEastAsia" w:eastAsiaTheme="minorEastAsia" w:cstheme="minorEastAsia"/>
                <w:sz w:val="21"/>
                <w:szCs w:val="21"/>
                <w:lang w:val="en-US"/>
              </w:rPr>
              <w:t>招标代理</w:t>
            </w:r>
            <w:r>
              <w:rPr>
                <w:rFonts w:hint="eastAsia" w:asciiTheme="minorEastAsia" w:hAnsiTheme="minorEastAsia" w:eastAsiaTheme="minorEastAsia" w:cstheme="minorEastAsia"/>
                <w:sz w:val="21"/>
                <w:szCs w:val="21"/>
              </w:rPr>
              <w:t>机构编制</w:t>
            </w:r>
            <w:r>
              <w:rPr>
                <w:rFonts w:hint="eastAsia" w:asciiTheme="minorEastAsia" w:hAnsiTheme="minorEastAsia" w:eastAsiaTheme="minorEastAsia" w:cstheme="minorEastAsia"/>
                <w:b/>
                <w:bCs/>
                <w:sz w:val="21"/>
                <w:szCs w:val="21"/>
                <w:lang w:val="en-US"/>
              </w:rPr>
              <w:t>施工图预算</w:t>
            </w:r>
            <w:r>
              <w:rPr>
                <w:rFonts w:hint="eastAsia" w:asciiTheme="minorEastAsia" w:hAnsiTheme="minorEastAsia" w:eastAsiaTheme="minorEastAsia" w:cstheme="minorEastAsia"/>
                <w:sz w:val="21"/>
                <w:szCs w:val="21"/>
              </w:rPr>
              <w:t>通过</w:t>
            </w:r>
            <w:r>
              <w:rPr>
                <w:rFonts w:hint="eastAsia" w:asciiTheme="minorEastAsia" w:hAnsiTheme="minorEastAsia" w:eastAsiaTheme="minorEastAsia" w:cstheme="minorEastAsia"/>
                <w:sz w:val="21"/>
                <w:szCs w:val="21"/>
                <w:lang w:val="en-US"/>
              </w:rPr>
              <w:t>发包人委托的第三方</w:t>
            </w:r>
            <w:r>
              <w:rPr>
                <w:rFonts w:hint="eastAsia" w:asciiTheme="minorEastAsia" w:hAnsiTheme="minorEastAsia" w:eastAsiaTheme="minorEastAsia" w:cstheme="minorEastAsia"/>
                <w:sz w:val="21"/>
                <w:szCs w:val="21"/>
              </w:rPr>
              <w:t>审核后执行。若中标人对</w:t>
            </w:r>
            <w:r>
              <w:rPr>
                <w:rFonts w:hint="eastAsia" w:asciiTheme="minorEastAsia" w:hAnsiTheme="minorEastAsia" w:eastAsiaTheme="minorEastAsia" w:cstheme="minorEastAsia"/>
                <w:b/>
                <w:bCs/>
                <w:sz w:val="21"/>
                <w:szCs w:val="21"/>
                <w:lang w:val="en-US"/>
              </w:rPr>
              <w:t>施工图预算</w:t>
            </w:r>
            <w:r>
              <w:rPr>
                <w:rFonts w:hint="eastAsia" w:asciiTheme="minorEastAsia" w:hAnsiTheme="minorEastAsia" w:eastAsiaTheme="minorEastAsia" w:cstheme="minorEastAsia"/>
                <w:sz w:val="21"/>
                <w:szCs w:val="21"/>
              </w:rPr>
              <w:t>等有异议的可向上级主管部门提出复议（因此产生的全部费用由中标人承担），复议为终审结果。若中标人拒不接受审计价或复议结果的，招标人有权取消其后续所有项目建设，给招标人带来损失的，追究其违约责任；最终通过审核（若需进行备案，则备案通过）的施工图预算，作为合同结算的依据。</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建筑安装工程费结算价=（施工图预算-暂估价-暂列金-经询价采购方式确定的材料价格）*中标人投标费率+实际发生的暂列金+实际发生的暂估价+经询价采购方式确定的材料价格+根据合同约定需进行调整或变更的施工工程款或违约金（备注：调整或变更的施工工程款结算时费率按照中标费率）。</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2.4、</w:t>
            </w:r>
            <w:r>
              <w:rPr>
                <w:rFonts w:hint="eastAsia" w:asciiTheme="minorEastAsia" w:hAnsiTheme="minorEastAsia" w:eastAsiaTheme="minorEastAsia" w:cstheme="minorEastAsia"/>
                <w:b/>
                <w:bCs/>
                <w:sz w:val="21"/>
                <w:szCs w:val="21"/>
                <w:lang w:val="en-US"/>
              </w:rPr>
              <w:t>建安费用</w:t>
            </w:r>
            <w:r>
              <w:rPr>
                <w:rFonts w:hint="eastAsia" w:asciiTheme="minorEastAsia" w:hAnsiTheme="minorEastAsia" w:eastAsiaTheme="minorEastAsia" w:cstheme="minorEastAsia"/>
                <w:b/>
                <w:bCs/>
                <w:sz w:val="21"/>
                <w:szCs w:val="21"/>
              </w:rPr>
              <w:t>结算总价</w:t>
            </w:r>
            <w:r>
              <w:rPr>
                <w:rFonts w:hint="eastAsia" w:asciiTheme="minorEastAsia" w:hAnsiTheme="minorEastAsia" w:eastAsiaTheme="minorEastAsia" w:cstheme="minorEastAsia"/>
                <w:b/>
                <w:bCs/>
                <w:sz w:val="21"/>
                <w:szCs w:val="21"/>
                <w:lang w:val="en-US"/>
              </w:rPr>
              <w:t>原则上</w:t>
            </w:r>
            <w:r>
              <w:rPr>
                <w:rFonts w:hint="eastAsia" w:asciiTheme="minorEastAsia" w:hAnsiTheme="minorEastAsia" w:eastAsiaTheme="minorEastAsia" w:cstheme="minorEastAsia"/>
                <w:b/>
                <w:bCs/>
                <w:sz w:val="21"/>
                <w:szCs w:val="21"/>
              </w:rPr>
              <w:t>不得高于审定后</w:t>
            </w:r>
            <w:r>
              <w:rPr>
                <w:rFonts w:hint="eastAsia" w:asciiTheme="minorEastAsia" w:hAnsiTheme="minorEastAsia" w:eastAsiaTheme="minorEastAsia" w:cstheme="minorEastAsia"/>
                <w:b/>
                <w:bCs/>
                <w:sz w:val="21"/>
                <w:szCs w:val="21"/>
                <w:lang w:val="en-US"/>
              </w:rPr>
              <w:t>施工图预算</w:t>
            </w:r>
            <w:r>
              <w:rPr>
                <w:rFonts w:hint="eastAsia" w:asciiTheme="minorEastAsia" w:hAnsiTheme="minorEastAsia" w:eastAsiaTheme="minorEastAsia" w:cstheme="minorEastAsia"/>
                <w:b/>
                <w:sz w:val="21"/>
                <w:szCs w:val="21"/>
                <w:lang w:val="en-US"/>
              </w:rPr>
              <w:t>，</w:t>
            </w:r>
            <w:r>
              <w:rPr>
                <w:rFonts w:hint="eastAsia" w:asciiTheme="minorEastAsia" w:hAnsiTheme="minorEastAsia" w:eastAsiaTheme="minorEastAsia" w:cstheme="minorEastAsia"/>
                <w:sz w:val="21"/>
                <w:szCs w:val="21"/>
              </w:rPr>
              <w:t>因</w:t>
            </w:r>
            <w:r>
              <w:rPr>
                <w:rFonts w:hint="eastAsia" w:asciiTheme="minorEastAsia" w:hAnsiTheme="minorEastAsia" w:eastAsiaTheme="minorEastAsia" w:cstheme="minorEastAsia"/>
                <w:kern w:val="2"/>
                <w:sz w:val="21"/>
                <w:szCs w:val="21"/>
                <w:lang w:val="en-US" w:bidi="ar-SA"/>
              </w:rPr>
              <w:t>发包人提出的设计变更引起投资增减、询价材料涨跌引起投资增减的除外。</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rPr>
              <w:t>、本项目发包人仅</w:t>
            </w:r>
            <w:r>
              <w:rPr>
                <w:rFonts w:hint="eastAsia" w:asciiTheme="minorEastAsia" w:hAnsiTheme="minorEastAsia" w:eastAsiaTheme="minorEastAsia" w:cstheme="minorEastAsia"/>
                <w:b/>
                <w:sz w:val="21"/>
                <w:szCs w:val="21"/>
              </w:rPr>
              <w:t>支付建筑安装工程费、设计费；其他的费用包括但不限于可行性研究报告编制费、勘察测量费、图审、专家评审费及设计图纸的修改、调整所产生的重复设计等所有相关费用均由投标人综合考虑在其报价中，发包人不予另行计算，</w:t>
            </w:r>
            <w:r>
              <w:rPr>
                <w:rFonts w:hint="eastAsia" w:asciiTheme="minorEastAsia" w:hAnsiTheme="minorEastAsia" w:eastAsiaTheme="minorEastAsia" w:cstheme="minorEastAsia"/>
                <w:sz w:val="21"/>
                <w:szCs w:val="21"/>
              </w:rPr>
              <w:t>中标人不得以任何理由要求发包人增加支付任何相关费用，</w:t>
            </w:r>
            <w:r>
              <w:rPr>
                <w:rFonts w:hint="eastAsia" w:asciiTheme="minorEastAsia" w:hAnsiTheme="minorEastAsia" w:eastAsiaTheme="minorEastAsia" w:cstheme="minorEastAsia"/>
                <w:b/>
                <w:sz w:val="21"/>
                <w:szCs w:val="21"/>
              </w:rPr>
              <w:t>本项目所有临时设施均按照施工图预算计算规则以费率计算，不再单独以清单分部分项列项计算。</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工程建设期间，如遇政策及方案调整变化或根据招标人要求，中标人须及时进行方案修改设计、对已完成或正在进行的初步及施工图设计进行相应的调整、修改，直至再次通过招标人组织的设计方案专家审查会且成果通过相关部门、会议审查通过、批准，以及相关初步设计评审、施工图纸审查，中标人不得以任何理由要求发包人增加支付任何相关费用（但因调整造成的主体变更、措施费的变更等费用须参照合同约定的计价方式按实调整），由此产生的任何费用均由中标人承担，发包人不另行支付任何费用，投标人须在投标报价费率中综合考虑该费用。</w:t>
            </w:r>
          </w:p>
          <w:p>
            <w:pPr>
              <w:tabs>
                <w:tab w:val="left" w:pos="4693"/>
              </w:tabs>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2.8发包人有权根据工程建设需要，要求中标人取消或增加工程量清单中的项目和对工程施工量作调整，中标人必须服从和执行。变更价款计算，执行合同相关条款。</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特别注明：</w:t>
            </w:r>
          </w:p>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1、因承包人在设计、施工等全过程中出现由自身原因造成的过错给发包人带来损失的，除负责采取补救措施外，如需增加费用的，</w:t>
            </w:r>
            <w:r>
              <w:rPr>
                <w:rFonts w:hint="eastAsia" w:asciiTheme="minorEastAsia" w:hAnsiTheme="minorEastAsia" w:eastAsiaTheme="minorEastAsia" w:cstheme="minorEastAsia"/>
                <w:sz w:val="21"/>
                <w:szCs w:val="21"/>
                <w:lang w:val="en-US"/>
              </w:rPr>
              <w:t>则</w:t>
            </w:r>
            <w:r>
              <w:rPr>
                <w:rFonts w:hint="eastAsia" w:asciiTheme="minorEastAsia" w:hAnsiTheme="minorEastAsia" w:eastAsiaTheme="minorEastAsia" w:cstheme="minorEastAsia"/>
                <w:sz w:val="21"/>
                <w:szCs w:val="21"/>
              </w:rPr>
              <w:t>不予增加；</w:t>
            </w:r>
          </w:p>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、招标文件中未明确的施工所需的各种证件和手续。招标人可协助中标人办理，费用由中标单位承担，投标人须在投标报价费率中综合考虑该费用。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8</w:t>
            </w:r>
          </w:p>
        </w:tc>
        <w:tc>
          <w:tcPr>
            <w:tcW w:w="168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特别提醒</w:t>
            </w:r>
          </w:p>
        </w:tc>
        <w:tc>
          <w:tcPr>
            <w:tcW w:w="6679" w:type="dxa"/>
            <w:vAlign w:val="center"/>
          </w:tcPr>
          <w:p>
            <w:pPr>
              <w:adjustRightInd w:val="0"/>
              <w:jc w:val="both"/>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
                <w:sz w:val="21"/>
                <w:szCs w:val="21"/>
              </w:rPr>
              <w:t>投标人须通过淮北市公共资源交易中心网站，进入“不见面开标大厅”，进行解密</w:t>
            </w:r>
            <w:r>
              <w:rPr>
                <w:rFonts w:hint="eastAsia" w:asciiTheme="minorEastAsia" w:hAnsiTheme="minorEastAsia" w:eastAsiaTheme="minorEastAsia" w:cstheme="minorEastAsia"/>
                <w:bCs/>
                <w:sz w:val="21"/>
                <w:szCs w:val="21"/>
              </w:rPr>
              <w:t>；投标人可以通过交易平台中的“模拟解密”功能，自行验证其解密环境，如有技术问题请联系：0561-</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Cs/>
                <w:sz w:val="21"/>
                <w:szCs w:val="21"/>
              </w:rPr>
              <w:t>3</w:t>
            </w:r>
            <w:r>
              <w:rPr>
                <w:rFonts w:hint="eastAsia" w:asciiTheme="minorEastAsia" w:hAnsiTheme="minorEastAsia" w:eastAsiaTheme="minorEastAsia" w:cstheme="minorEastAsia"/>
                <w:bCs/>
                <w:sz w:val="21"/>
                <w:szCs w:val="21"/>
                <w:lang w:val="en-US"/>
              </w:rPr>
              <w:t>199620</w:t>
            </w:r>
            <w:r>
              <w:rPr>
                <w:rFonts w:hint="eastAsia" w:asciiTheme="minorEastAsia" w:hAnsiTheme="minorEastAsia" w:eastAsiaTheme="minorEastAsia" w:cstheme="minorEastAsia"/>
                <w:bCs/>
                <w:sz w:val="21"/>
                <w:szCs w:val="21"/>
              </w:rPr>
              <w:t xml:space="preserve">。解密不成功的，后果自负。投标人不得通过非加密电子报价文件（光盘）直接将电子投标文件导入评标系统； </w:t>
            </w:r>
            <w:r>
              <w:rPr>
                <w:rFonts w:hint="eastAsia" w:asciiTheme="minorEastAsia" w:hAnsiTheme="minorEastAsia" w:eastAsiaTheme="minorEastAsia" w:cstheme="minorEastAsia"/>
                <w:b/>
                <w:bCs/>
                <w:sz w:val="21"/>
                <w:szCs w:val="21"/>
              </w:rPr>
              <w:t>投标人应在投标截止时间起 30 分钟内，通过互联网解密投标文件，超过 30 分钟未解密的投标文件，将被退回，不进入评标程序。（以交易系统时间为准）；</w:t>
            </w:r>
          </w:p>
          <w:p>
            <w:pPr>
              <w:adjustRightInd w:val="0"/>
              <w:jc w:val="both"/>
              <w:textAlignment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Cs/>
                <w:sz w:val="21"/>
                <w:szCs w:val="21"/>
              </w:rPr>
              <w:t>2、投标人解密完成后，投标人应安排专人登录系统并保持在线状态，因投标人未及时登录系统而无法接受评标委员会询标 （远程网上询标）的风险，由投标人自行承担。</w:t>
            </w:r>
            <w:r>
              <w:rPr>
                <w:rFonts w:hint="eastAsia" w:asciiTheme="minorEastAsia" w:hAnsiTheme="minorEastAsia" w:eastAsiaTheme="minorEastAsia" w:cstheme="minorEastAsia"/>
                <w:b/>
                <w:bCs/>
                <w:sz w:val="21"/>
                <w:szCs w:val="21"/>
              </w:rPr>
              <w:t>如有询标事宜，评标委员会通过互联网向投标人发起询标。投标人通过淮北市电子招投标交易平台接受评标委员会发起的询标，并在规定的时间内（询标函计时从评标委员会发起询标起不超过</w:t>
            </w:r>
            <w:r>
              <w:rPr>
                <w:rFonts w:hint="eastAsia" w:asciiTheme="minorEastAsia" w:hAnsiTheme="minorEastAsia" w:eastAsiaTheme="minorEastAsia" w:cstheme="minorEastAsia"/>
                <w:b/>
                <w:bCs/>
                <w:sz w:val="21"/>
                <w:szCs w:val="21"/>
                <w:lang w:val="en-US"/>
              </w:rPr>
              <w:t>30</w:t>
            </w:r>
            <w:r>
              <w:rPr>
                <w:rFonts w:hint="eastAsia" w:asciiTheme="minorEastAsia" w:hAnsiTheme="minorEastAsia" w:eastAsiaTheme="minorEastAsia" w:cstheme="minorEastAsia"/>
                <w:b/>
                <w:bCs/>
                <w:sz w:val="21"/>
                <w:szCs w:val="21"/>
              </w:rPr>
              <w:t>分钟），对询标内容答复并填写联系人姓名、联系电话（</w:t>
            </w:r>
            <w:r>
              <w:rPr>
                <w:rFonts w:hint="eastAsia" w:asciiTheme="minorEastAsia" w:hAnsiTheme="minorEastAsia" w:eastAsiaTheme="minorEastAsia" w:cstheme="minorEastAsia"/>
                <w:b/>
                <w:sz w:val="21"/>
                <w:szCs w:val="21"/>
              </w:rPr>
              <w:t>手机号码</w:t>
            </w:r>
            <w:r>
              <w:rPr>
                <w:rFonts w:hint="eastAsia" w:asciiTheme="minorEastAsia" w:hAnsiTheme="minorEastAsia" w:eastAsiaTheme="minorEastAsia" w:cstheme="minorEastAsia"/>
                <w:b/>
                <w:bCs/>
                <w:sz w:val="21"/>
                <w:szCs w:val="21"/>
              </w:rPr>
              <w:t>），加盖投标人电子签章。</w:t>
            </w:r>
          </w:p>
          <w:p>
            <w:pPr>
              <w:adjustRightInd w:val="0"/>
              <w:textAlignment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3、从评标委员会发起远程网上询标至询标结束原则上为</w:t>
            </w:r>
            <w:r>
              <w:rPr>
                <w:rFonts w:hint="eastAsia" w:asciiTheme="minorEastAsia" w:hAnsiTheme="minorEastAsia" w:eastAsiaTheme="minorEastAsia" w:cstheme="minorEastAsia"/>
                <w:bCs/>
                <w:sz w:val="21"/>
                <w:szCs w:val="21"/>
                <w:lang w:val="en-US"/>
              </w:rPr>
              <w:t>3</w:t>
            </w:r>
            <w:r>
              <w:rPr>
                <w:rFonts w:hint="eastAsia" w:asciiTheme="minorEastAsia" w:hAnsiTheme="minorEastAsia" w:eastAsiaTheme="minorEastAsia" w:cstheme="minorEastAsia"/>
                <w:bCs/>
                <w:sz w:val="21"/>
                <w:szCs w:val="21"/>
              </w:rPr>
              <w:t xml:space="preserve">0分钟（具体时间要求见询标系统），评标委员会将对澄清、说明或补正内容评审后判定是否符合招标文件要求。在规定时间内未按评委会要求进行澄清、 说明或补正内容的视同投标人放弃澄清、说明或补正内容权利，评委会可按对投标人不利的解释去进行判定； </w:t>
            </w:r>
          </w:p>
          <w:p>
            <w:pPr>
              <w:adjustRightInd w:val="0"/>
              <w:textAlignment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4、投标人可通过淮北市公共资源交易中心网站，查看评审结果； </w:t>
            </w:r>
          </w:p>
          <w:p>
            <w:pPr>
              <w:snapToGrid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sz w:val="21"/>
                <w:szCs w:val="21"/>
              </w:rPr>
              <w:t>投标人请在投标文件中标注页码，以方便招投标档案管理。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9</w:t>
            </w:r>
          </w:p>
        </w:tc>
        <w:tc>
          <w:tcPr>
            <w:tcW w:w="168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其他约定</w:t>
            </w:r>
          </w:p>
        </w:tc>
        <w:tc>
          <w:tcPr>
            <w:tcW w:w="6679" w:type="dxa"/>
          </w:tcPr>
          <w:p>
            <w:pPr>
              <w:pStyle w:val="50"/>
              <w:numPr>
                <w:ilvl w:val="0"/>
                <w:numId w:val="5"/>
              </w:numPr>
              <w:spacing w:before="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项目实施期间，如因中标人</w:t>
            </w:r>
            <w:r>
              <w:rPr>
                <w:rFonts w:hint="eastAsia" w:asciiTheme="minorEastAsia" w:hAnsiTheme="minorEastAsia" w:eastAsiaTheme="minorEastAsia" w:cstheme="minorEastAsia"/>
                <w:sz w:val="21"/>
                <w:szCs w:val="21"/>
              </w:rPr>
              <w:t>（合同乙方</w:t>
            </w:r>
            <w:r>
              <w:rPr>
                <w:rFonts w:hint="eastAsia" w:asciiTheme="minorEastAsia" w:hAnsiTheme="minorEastAsia" w:eastAsiaTheme="minorEastAsia" w:cstheme="minorEastAsia"/>
                <w:spacing w:val="-15"/>
                <w:sz w:val="21"/>
                <w:szCs w:val="21"/>
              </w:rPr>
              <w:t>）</w:t>
            </w:r>
            <w:r>
              <w:rPr>
                <w:rFonts w:hint="eastAsia" w:asciiTheme="minorEastAsia" w:hAnsiTheme="minorEastAsia" w:eastAsiaTheme="minorEastAsia" w:cstheme="minorEastAsia"/>
                <w:sz w:val="21"/>
                <w:szCs w:val="21"/>
              </w:rPr>
              <w:t>原因在本项</w:t>
            </w:r>
            <w:r>
              <w:rPr>
                <w:rFonts w:hint="eastAsia" w:asciiTheme="minorEastAsia" w:hAnsiTheme="minorEastAsia" w:eastAsiaTheme="minorEastAsia" w:cstheme="minorEastAsia"/>
                <w:spacing w:val="1"/>
                <w:sz w:val="21"/>
                <w:szCs w:val="21"/>
              </w:rPr>
              <w:t>目中出现下列情形，即构成中标人</w:t>
            </w:r>
            <w:r>
              <w:rPr>
                <w:rFonts w:hint="eastAsia" w:asciiTheme="minorEastAsia" w:hAnsiTheme="minorEastAsia" w:eastAsiaTheme="minorEastAsia" w:cstheme="minorEastAsia"/>
                <w:sz w:val="21"/>
                <w:szCs w:val="21"/>
              </w:rPr>
              <w:t>（合同乙方</w:t>
            </w:r>
            <w:r>
              <w:rPr>
                <w:rFonts w:hint="eastAsia" w:asciiTheme="minorEastAsia" w:hAnsiTheme="minorEastAsia" w:eastAsiaTheme="minorEastAsia" w:cstheme="minorEastAsia"/>
                <w:spacing w:val="15"/>
                <w:sz w:val="21"/>
                <w:szCs w:val="21"/>
              </w:rPr>
              <w:t>）</w:t>
            </w:r>
            <w:r>
              <w:rPr>
                <w:rFonts w:hint="eastAsia" w:asciiTheme="minorEastAsia" w:hAnsiTheme="minorEastAsia" w:eastAsiaTheme="minorEastAsia" w:cstheme="minorEastAsia"/>
                <w:sz w:val="21"/>
                <w:szCs w:val="21"/>
              </w:rPr>
              <w:t>违约事件，招标人（</w:t>
            </w:r>
            <w:r>
              <w:rPr>
                <w:rFonts w:hint="eastAsia" w:asciiTheme="minorEastAsia" w:hAnsiTheme="minorEastAsia" w:eastAsiaTheme="minorEastAsia" w:cstheme="minorEastAsia"/>
                <w:spacing w:val="3"/>
                <w:sz w:val="21"/>
                <w:szCs w:val="21"/>
              </w:rPr>
              <w:t>合同甲方</w:t>
            </w:r>
            <w:r>
              <w:rPr>
                <w:rFonts w:hint="eastAsia" w:asciiTheme="minorEastAsia" w:hAnsiTheme="minorEastAsia" w:eastAsiaTheme="minorEastAsia" w:cstheme="minorEastAsia"/>
                <w:sz w:val="21"/>
                <w:szCs w:val="21"/>
              </w:rPr>
              <w:t>）有权单方面立即取消其中标资格或终止合同，并要求中标人（合同乙方）赔偿损失。</w:t>
            </w:r>
          </w:p>
          <w:p>
            <w:pPr>
              <w:pStyle w:val="50"/>
              <w:spacing w:before="6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a</w:t>
            </w:r>
            <w:r>
              <w:rPr>
                <w:rFonts w:hint="eastAsia" w:asciiTheme="minorEastAsia" w:hAnsiTheme="minorEastAsia" w:eastAsiaTheme="minorEastAsia" w:cstheme="minorEastAsia"/>
                <w:sz w:val="21"/>
                <w:szCs w:val="21"/>
              </w:rPr>
              <w:t>）同履行期间违法转包、非法分包的；</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b</w:t>
            </w:r>
            <w:r>
              <w:rPr>
                <w:rFonts w:hint="eastAsia" w:asciiTheme="minorEastAsia" w:hAnsiTheme="minorEastAsia" w:eastAsiaTheme="minorEastAsia" w:cstheme="minorEastAsia"/>
                <w:sz w:val="21"/>
                <w:szCs w:val="21"/>
              </w:rPr>
              <w:t xml:space="preserve">）未按期限签订项目协议或单项施工合同的； </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c</w:t>
            </w:r>
            <w:r>
              <w:rPr>
                <w:rFonts w:hint="eastAsia" w:asciiTheme="minorEastAsia" w:hAnsiTheme="minorEastAsia" w:eastAsiaTheme="minorEastAsia" w:cstheme="minorEastAsia"/>
                <w:sz w:val="21"/>
                <w:szCs w:val="21"/>
              </w:rPr>
              <w:t>）未按约定按时足额缴纳履约担保的；</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d</w:t>
            </w:r>
            <w:r>
              <w:rPr>
                <w:rFonts w:hint="eastAsia" w:asciiTheme="minorEastAsia" w:hAnsiTheme="minorEastAsia" w:eastAsiaTheme="minorEastAsia" w:cstheme="minorEastAsia"/>
                <w:sz w:val="21"/>
                <w:szCs w:val="21"/>
              </w:rPr>
              <w:t xml:space="preserve">）未按约定期限完成开工前期准备工作； </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e</w:t>
            </w:r>
            <w:r>
              <w:rPr>
                <w:rFonts w:hint="eastAsia" w:asciiTheme="minorEastAsia" w:hAnsiTheme="minorEastAsia" w:eastAsiaTheme="minorEastAsia" w:cstheme="minorEastAsia"/>
                <w:sz w:val="21"/>
                <w:szCs w:val="21"/>
              </w:rPr>
              <w:t>）未按发包人开工要求限期开工的；</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f</w:t>
            </w:r>
            <w:r>
              <w:rPr>
                <w:rFonts w:hint="eastAsia" w:asciiTheme="minorEastAsia" w:hAnsiTheme="minorEastAsia" w:eastAsiaTheme="minorEastAsia" w:cstheme="minorEastAsia"/>
                <w:sz w:val="21"/>
                <w:szCs w:val="21"/>
              </w:rPr>
              <w:t>）工期严重滞后以至无法按期完成合同工期的；</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g</w:t>
            </w:r>
            <w:r>
              <w:rPr>
                <w:rFonts w:hint="eastAsia" w:asciiTheme="minorEastAsia" w:hAnsiTheme="minorEastAsia" w:eastAsiaTheme="minorEastAsia" w:cstheme="minorEastAsia"/>
                <w:sz w:val="21"/>
                <w:szCs w:val="21"/>
              </w:rPr>
              <w:t>）出现严重工程质量问题的；</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h</w:t>
            </w:r>
            <w:r>
              <w:rPr>
                <w:rFonts w:hint="eastAsia" w:asciiTheme="minorEastAsia" w:hAnsiTheme="minorEastAsia" w:eastAsiaTheme="minorEastAsia" w:cstheme="minorEastAsia"/>
                <w:sz w:val="21"/>
                <w:szCs w:val="21"/>
              </w:rPr>
              <w:t>）发生重大、特大生产安全事故（“重大、特大”的程度按照国家有关法律法规界定）；</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i</w:t>
            </w:r>
            <w:r>
              <w:rPr>
                <w:rFonts w:hint="eastAsia" w:asciiTheme="minorEastAsia" w:hAnsiTheme="minorEastAsia" w:eastAsiaTheme="minorEastAsia" w:cstheme="minorEastAsia"/>
                <w:sz w:val="21"/>
                <w:szCs w:val="21"/>
              </w:rPr>
              <w:t xml:space="preserve">）管理混乱、擅自变更主要管理人员、未到岗履职的； </w:t>
            </w:r>
          </w:p>
          <w:p>
            <w:pPr>
              <w:pStyle w:val="50"/>
              <w:tabs>
                <w:tab w:val="left" w:pos="534"/>
              </w:tabs>
              <w:spacing w:before="6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j</w:t>
            </w:r>
            <w:r>
              <w:rPr>
                <w:rFonts w:hint="eastAsia" w:asciiTheme="minorEastAsia" w:hAnsiTheme="minorEastAsia" w:eastAsiaTheme="minorEastAsia" w:cstheme="minorEastAsia"/>
                <w:sz w:val="21"/>
                <w:szCs w:val="21"/>
              </w:rPr>
              <w:t>）恶意拖欠工程材料款、恶意拖欠农民工工资造成恶劣影响的；</w:t>
            </w:r>
          </w:p>
          <w:p>
            <w:pPr>
              <w:pStyle w:val="50"/>
              <w:tabs>
                <w:tab w:val="left" w:pos="534"/>
              </w:tabs>
              <w:spacing w:before="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k</w:t>
            </w:r>
            <w:r>
              <w:rPr>
                <w:rFonts w:hint="eastAsia" w:asciiTheme="minorEastAsia" w:hAnsiTheme="minorEastAsia" w:eastAsiaTheme="minorEastAsia" w:cstheme="minorEastAsia"/>
                <w:sz w:val="21"/>
                <w:szCs w:val="21"/>
              </w:rPr>
              <w:t>）中标人与第三方发生法律纠纷、严重影响项目进展的；</w:t>
            </w:r>
          </w:p>
          <w:p>
            <w:pPr>
              <w:pStyle w:val="50"/>
              <w:tabs>
                <w:tab w:val="left" w:pos="534"/>
              </w:tabs>
              <w:spacing w:before="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依</w:t>
            </w:r>
            <w:r>
              <w:rPr>
                <w:rFonts w:hint="eastAsia" w:asciiTheme="minorEastAsia" w:hAnsiTheme="minorEastAsia" w:eastAsiaTheme="minorEastAsia" w:cstheme="minorEastAsia"/>
                <w:sz w:val="21"/>
                <w:szCs w:val="21"/>
              </w:rPr>
              <w:t>法被吊销营业执照、清算或破产的；</w:t>
            </w:r>
          </w:p>
          <w:p>
            <w:pPr>
              <w:pStyle w:val="50"/>
              <w:tabs>
                <w:tab w:val="left" w:pos="534"/>
              </w:tabs>
              <w:spacing w:before="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m</w:t>
            </w:r>
            <w:r>
              <w:rPr>
                <w:rFonts w:hint="eastAsia" w:asciiTheme="minorEastAsia" w:hAnsiTheme="minorEastAsia" w:eastAsiaTheme="minorEastAsia" w:cstheme="minorEastAsia"/>
                <w:sz w:val="21"/>
                <w:szCs w:val="21"/>
              </w:rPr>
              <w:t>）拒不接受审计</w:t>
            </w:r>
            <w:r>
              <w:rPr>
                <w:rFonts w:hint="eastAsia" w:asciiTheme="minorEastAsia" w:hAnsiTheme="minorEastAsia" w:eastAsiaTheme="minorEastAsia" w:cstheme="minorEastAsia"/>
                <w:sz w:val="21"/>
                <w:szCs w:val="21"/>
                <w:lang w:val="en-US"/>
              </w:rPr>
              <w:t>结果</w:t>
            </w:r>
            <w:r>
              <w:rPr>
                <w:rFonts w:hint="eastAsia" w:asciiTheme="minorEastAsia" w:hAnsiTheme="minorEastAsia" w:eastAsiaTheme="minorEastAsia" w:cstheme="minorEastAsia"/>
                <w:sz w:val="21"/>
                <w:szCs w:val="21"/>
              </w:rPr>
              <w:t>或安徽省、淮北市建设工程造价管理机构复议结果的；</w:t>
            </w:r>
          </w:p>
          <w:p>
            <w:pPr>
              <w:pStyle w:val="50"/>
              <w:tabs>
                <w:tab w:val="left" w:pos="534"/>
              </w:tabs>
              <w:spacing w:before="6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n</w:t>
            </w:r>
            <w:r>
              <w:rPr>
                <w:rFonts w:hint="eastAsia" w:asciiTheme="minorEastAsia" w:hAnsiTheme="minorEastAsia" w:eastAsiaTheme="minorEastAsia" w:cstheme="minorEastAsia"/>
                <w:sz w:val="21"/>
                <w:szCs w:val="21"/>
              </w:rPr>
              <w:t>）其他法律规定的情形。</w:t>
            </w:r>
          </w:p>
          <w:p>
            <w:pPr>
              <w:pStyle w:val="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2、区段工程验收</w:t>
            </w:r>
          </w:p>
          <w:p>
            <w:pPr>
              <w:snapToGrid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发包人根据合同进度计划安排，在全部工程竣工前需要使用已经竣工的区段工程时，或承包人提出经发包人同意时，可进行区段工程验收。验收的程序可参照合同通用条款第 1</w:t>
            </w:r>
            <w:r>
              <w:rPr>
                <w:rFonts w:hint="eastAsia" w:asciiTheme="minorEastAsia" w:hAnsiTheme="minorEastAsia" w:eastAsiaTheme="minorEastAsia" w:cstheme="minorEastAsia"/>
                <w:sz w:val="21"/>
                <w:szCs w:val="21"/>
                <w:lang w:val="en-US"/>
              </w:rPr>
              <w:t>0</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rPr>
              <w:t>条</w:t>
            </w:r>
            <w:r>
              <w:rPr>
                <w:rFonts w:hint="eastAsia" w:asciiTheme="minorEastAsia" w:hAnsiTheme="minorEastAsia" w:eastAsiaTheme="minorEastAsia" w:cstheme="minorEastAsia"/>
                <w:sz w:val="21"/>
                <w:szCs w:val="21"/>
              </w:rPr>
              <w:t>的约定进行。验收合格后，由监理人向承包人出具经发包人签认的区段工程验收证书。已签发区段工程接收证书的区段工程由发包人负责照管，质保期内出现质量问题承包人无条件的修复。区段工程的验收成果和结论作为全部工程竣工验收申请报告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1688"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bCs/>
                <w:kern w:val="1"/>
                <w:sz w:val="21"/>
                <w:szCs w:val="21"/>
              </w:rPr>
              <w:t>特别说明</w:t>
            </w:r>
            <w:r>
              <w:rPr>
                <w:rFonts w:hint="eastAsia" w:asciiTheme="minorEastAsia" w:hAnsiTheme="minorEastAsia" w:eastAsiaTheme="minorEastAsia" w:cstheme="minorEastAsia"/>
                <w:b/>
                <w:bCs/>
                <w:kern w:val="1"/>
                <w:sz w:val="21"/>
                <w:szCs w:val="21"/>
                <w:lang w:val="en-US"/>
              </w:rPr>
              <w:t>4</w:t>
            </w:r>
          </w:p>
        </w:tc>
        <w:tc>
          <w:tcPr>
            <w:tcW w:w="6679" w:type="dxa"/>
            <w:vAlign w:val="center"/>
          </w:tcPr>
          <w:p>
            <w:pPr>
              <w:rPr>
                <w:rFonts w:asciiTheme="minorEastAsia" w:hAnsiTheme="minorEastAsia" w:eastAsiaTheme="minorEastAsia" w:cstheme="minorEastAsia"/>
                <w:b/>
                <w:sz w:val="21"/>
                <w:szCs w:val="21"/>
                <w:lang w:val="en-US"/>
              </w:rPr>
            </w:pPr>
            <w:r>
              <w:rPr>
                <w:rFonts w:hint="eastAsia" w:asciiTheme="minorEastAsia" w:hAnsiTheme="minorEastAsia" w:eastAsiaTheme="minorEastAsia" w:cstheme="minorEastAsia"/>
                <w:b/>
                <w:sz w:val="21"/>
                <w:szCs w:val="21"/>
                <w:lang w:val="en-US"/>
              </w:rPr>
              <w:t>据《安徽省住房和城乡建设厅关于开展全省房屋建筑和市政基础设施工程招标“评定分离”试点工作的通知》，本项目采用评定分离。</w:t>
            </w:r>
          </w:p>
          <w:p>
            <w:pPr>
              <w:rPr>
                <w:rFonts w:asciiTheme="minorEastAsia" w:hAnsiTheme="minorEastAsia" w:eastAsiaTheme="minorEastAsia" w:cstheme="minorEastAsia"/>
                <w:b/>
                <w:sz w:val="21"/>
                <w:szCs w:val="21"/>
                <w:lang w:val="en-US"/>
              </w:rPr>
            </w:pPr>
            <w:r>
              <w:rPr>
                <w:rFonts w:hint="eastAsia" w:asciiTheme="minorEastAsia" w:hAnsiTheme="minorEastAsia" w:eastAsiaTheme="minorEastAsia" w:cstheme="minorEastAsia"/>
                <w:b/>
                <w:sz w:val="21"/>
                <w:szCs w:val="21"/>
                <w:lang w:val="en-US"/>
              </w:rPr>
              <w:t>一、定标委员会的组成：定标工作由定标委员会负责，定标委员会为 由招标人自主组建并确定具体成员。定标委员会成员数量应为 5 人及以上单数，其中，招标人成员不少于成员总人数的五分之三。招标人成员从单位的领导班子成员、中层管理人员、具有工程建设类中级及以上技术职称或注册执业资格的人员中产生，招标人邀请 1名具有高级职称的相关专 业专家或资深专家参与，其他成员从相关行业主管部门组建的专家库中随机抽取产生。评标委员会的成员不得作为定标成员，定标成员不得与中标候选人存在利害关系，定标成员名单在中标结果确定前应当保密。定标成员对所提出的定标意见承担个人责任，招标人对定标委员会的确定及其定标结果承担最终责任。</w:t>
            </w:r>
          </w:p>
          <w:p>
            <w:pPr>
              <w:rPr>
                <w:rFonts w:asciiTheme="minorEastAsia" w:hAnsiTheme="minorEastAsia" w:eastAsiaTheme="minorEastAsia" w:cstheme="minorEastAsia"/>
                <w:b/>
                <w:sz w:val="21"/>
                <w:szCs w:val="21"/>
                <w:lang w:val="en-US"/>
              </w:rPr>
            </w:pPr>
            <w:r>
              <w:rPr>
                <w:rFonts w:hint="eastAsia" w:asciiTheme="minorEastAsia" w:hAnsiTheme="minorEastAsia" w:eastAsiaTheme="minorEastAsia" w:cstheme="minorEastAsia"/>
                <w:b/>
                <w:sz w:val="21"/>
                <w:szCs w:val="21"/>
                <w:lang w:val="en-US"/>
              </w:rPr>
              <w:t>二、定标因素：</w:t>
            </w:r>
          </w:p>
          <w:p>
            <w:pPr>
              <w:rPr>
                <w:rFonts w:asciiTheme="minorEastAsia" w:hAnsiTheme="minorEastAsia" w:eastAsiaTheme="minorEastAsia" w:cstheme="minorEastAsia"/>
                <w:b/>
                <w:sz w:val="21"/>
                <w:szCs w:val="21"/>
                <w:lang w:val="en-US"/>
              </w:rPr>
            </w:pPr>
            <w:r>
              <w:rPr>
                <w:rFonts w:hint="eastAsia" w:asciiTheme="minorEastAsia" w:hAnsiTheme="minorEastAsia" w:eastAsiaTheme="minorEastAsia" w:cstheme="minorEastAsia"/>
                <w:b/>
                <w:sz w:val="21"/>
                <w:szCs w:val="21"/>
                <w:lang w:val="en-US"/>
              </w:rPr>
              <w:t>1 、参考评标委员会提供的书面评标报告中说明的各中标候选人投标文 件的优势、缺点、风险等评审情况、推荐理由和评标委员会对其技术、质量、安全、工期的控制能力等提供技术咨询建议。</w:t>
            </w:r>
          </w:p>
          <w:p>
            <w:pPr>
              <w:rPr>
                <w:rFonts w:asciiTheme="minorEastAsia" w:hAnsiTheme="minorEastAsia" w:eastAsiaTheme="minorEastAsia" w:cstheme="minorEastAsia"/>
                <w:b/>
                <w:sz w:val="21"/>
                <w:szCs w:val="21"/>
                <w:lang w:val="en-US"/>
              </w:rPr>
            </w:pPr>
            <w:r>
              <w:rPr>
                <w:rFonts w:hint="eastAsia" w:asciiTheme="minorEastAsia" w:hAnsiTheme="minorEastAsia" w:eastAsiaTheme="minorEastAsia" w:cstheme="minorEastAsia"/>
                <w:b/>
                <w:sz w:val="21"/>
                <w:szCs w:val="21"/>
                <w:lang w:val="en-US"/>
              </w:rPr>
              <w:t>2 、结合考察小组对中标候选人考察：招标人在定标 前可视情决定是否 对中标候选人及拟派项目负责人进行考察，考察可采取网上调查、书面函询或实地考察等方式，考察应组成考察小组并形成书面考察报告。主要考察中标候选人的经营状况、履约能力、业绩、投标文件承诺事项的真实性进行定性的评价。若定标候选人的投标所用业绩、奖项等弄虚作假，或是经营、财务状况发生较大变化或者存在违法行为，可能影响其履约能力的，招标人应如实记录并提交定标委员会参考。参与调查的人员不得作为定标成员。</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lang w:val="en-US"/>
              </w:rPr>
              <w:t>三、定标方法： 结合以上两条定标因素，采取集体票决法（定标委员会对所有进入定标程序的中标候选人按照招标文 件规定的定标因素集体商议后投票确定中标人，如中标候选人得票数相同时。可对其进行再次票决确定中标人）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b/>
                <w:bCs/>
                <w:kern w:val="1"/>
                <w:sz w:val="21"/>
                <w:szCs w:val="21"/>
                <w:lang w:val="en-US"/>
              </w:rPr>
            </w:pPr>
            <w:r>
              <w:rPr>
                <w:rFonts w:hint="eastAsia" w:asciiTheme="minorEastAsia" w:hAnsiTheme="minorEastAsia" w:eastAsiaTheme="minorEastAsia" w:cstheme="minorEastAsia"/>
                <w:b/>
                <w:bCs/>
                <w:kern w:val="1"/>
                <w:sz w:val="21"/>
                <w:szCs w:val="21"/>
                <w:lang w:val="en-US"/>
              </w:rPr>
              <w:t>4</w:t>
            </w:r>
            <w:r>
              <w:rPr>
                <w:rFonts w:hint="eastAsia" w:asciiTheme="minorEastAsia" w:hAnsiTheme="minorEastAsia" w:eastAsiaTheme="minorEastAsia" w:cstheme="minorEastAsia"/>
                <w:b/>
                <w:bCs/>
                <w:kern w:val="1"/>
                <w:sz w:val="21"/>
                <w:szCs w:val="21"/>
                <w:lang w:val="en-US" w:eastAsia="zh-CN"/>
              </w:rPr>
              <w:t>1</w:t>
            </w:r>
          </w:p>
        </w:tc>
        <w:tc>
          <w:tcPr>
            <w:tcW w:w="1688" w:type="dxa"/>
            <w:vAlign w:val="center"/>
          </w:tcPr>
          <w:p>
            <w:pPr>
              <w:jc w:val="center"/>
              <w:rPr>
                <w:b/>
                <w:bCs/>
                <w:spacing w:val="-2"/>
                <w:sz w:val="24"/>
                <w:szCs w:val="24"/>
              </w:rPr>
            </w:pPr>
            <w:r>
              <w:rPr>
                <w:rFonts w:hint="eastAsia"/>
                <w:sz w:val="24"/>
                <w:szCs w:val="24"/>
              </w:rPr>
              <w:t>中标通知书发放形式</w:t>
            </w:r>
          </w:p>
        </w:tc>
        <w:tc>
          <w:tcPr>
            <w:tcW w:w="6679" w:type="dxa"/>
            <w:vAlign w:val="center"/>
          </w:tcPr>
          <w:p>
            <w:pPr>
              <w:jc w:val="both"/>
              <w:rPr>
                <w:spacing w:val="4"/>
                <w:sz w:val="24"/>
                <w:szCs w:val="24"/>
                <w:lang w:val="en-US"/>
              </w:rPr>
            </w:pPr>
            <w:r>
              <w:rPr>
                <w:rFonts w:hint="eastAsia"/>
                <w:sz w:val="24"/>
                <w:szCs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5" w:type="dxa"/>
            <w:vAlign w:val="center"/>
          </w:tcPr>
          <w:p>
            <w:pPr>
              <w:jc w:val="center"/>
              <w:rPr>
                <w:rFonts w:asciiTheme="minorEastAsia" w:hAnsiTheme="minorEastAsia" w:eastAsiaTheme="minorEastAsia" w:cstheme="minorEastAsia"/>
                <w:b/>
                <w:bCs/>
                <w:kern w:val="1"/>
                <w:sz w:val="21"/>
                <w:szCs w:val="21"/>
                <w:lang w:val="en-US"/>
              </w:rPr>
            </w:pPr>
            <w:r>
              <w:rPr>
                <w:rFonts w:hint="eastAsia" w:asciiTheme="minorEastAsia" w:hAnsiTheme="minorEastAsia" w:eastAsiaTheme="minorEastAsia" w:cstheme="minorEastAsia"/>
                <w:b/>
                <w:bCs/>
                <w:kern w:val="1"/>
                <w:sz w:val="21"/>
                <w:szCs w:val="21"/>
                <w:lang w:val="en-US"/>
              </w:rPr>
              <w:t>4</w:t>
            </w:r>
            <w:r>
              <w:rPr>
                <w:rFonts w:hint="eastAsia" w:asciiTheme="minorEastAsia" w:hAnsiTheme="minorEastAsia" w:eastAsiaTheme="minorEastAsia" w:cstheme="minorEastAsia"/>
                <w:b/>
                <w:bCs/>
                <w:kern w:val="1"/>
                <w:sz w:val="21"/>
                <w:szCs w:val="21"/>
                <w:lang w:val="en-US" w:eastAsia="zh-CN"/>
              </w:rPr>
              <w:t>2</w:t>
            </w:r>
          </w:p>
        </w:tc>
        <w:tc>
          <w:tcPr>
            <w:tcW w:w="1688" w:type="dxa"/>
            <w:vAlign w:val="center"/>
          </w:tcPr>
          <w:p>
            <w:pPr>
              <w:jc w:val="center"/>
              <w:rPr>
                <w:sz w:val="24"/>
                <w:szCs w:val="24"/>
                <w:lang w:val="en-US"/>
              </w:rPr>
            </w:pPr>
            <w:r>
              <w:rPr>
                <w:rFonts w:hint="eastAsia"/>
                <w:sz w:val="24"/>
                <w:szCs w:val="24"/>
                <w:lang w:val="en-US"/>
              </w:rPr>
              <w:t>农民工工资保证金</w:t>
            </w:r>
          </w:p>
        </w:tc>
        <w:tc>
          <w:tcPr>
            <w:tcW w:w="6679" w:type="dxa"/>
            <w:vAlign w:val="center"/>
          </w:tcPr>
          <w:p>
            <w:pPr>
              <w:jc w:val="both"/>
              <w:rPr>
                <w:sz w:val="24"/>
                <w:szCs w:val="24"/>
              </w:rPr>
            </w:pPr>
            <w:r>
              <w:rPr>
                <w:rFonts w:hint="eastAsia"/>
                <w:sz w:val="24"/>
                <w:szCs w:val="24"/>
              </w:rPr>
              <w:t>施工总承包单位应当自工程项目取得施工许可证（开工报告批复〉之日起20个工作日内《依法不需要办理施工许可证﹑批准开工报告的工程项目自签订施工合同之日起   个工作日之内)﹐持营业执照﹑与建设单位签订的施工合同、差异化缴存证明材料，在工程项目所在地的银行开立工资保证金专门账户存储工资保证金，也可申请开立银行保函或保证保险。</w:t>
            </w:r>
          </w:p>
          <w:p>
            <w:pPr>
              <w:jc w:val="both"/>
              <w:rPr>
                <w:sz w:val="24"/>
                <w:szCs w:val="24"/>
              </w:rPr>
            </w:pPr>
            <w:r>
              <w:rPr>
                <w:rFonts w:hint="eastAsia"/>
                <w:sz w:val="24"/>
                <w:szCs w:val="24"/>
              </w:rPr>
              <w:t xml:space="preserve">缴纳形式: </w:t>
            </w:r>
            <w:r>
              <w:rPr>
                <w:rFonts w:hint="eastAsia"/>
                <w:sz w:val="24"/>
                <w:szCs w:val="24"/>
              </w:rPr>
              <w:sym w:font="Wingdings" w:char="00FE"/>
            </w:r>
            <w:r>
              <w:rPr>
                <w:rFonts w:hint="eastAsia"/>
                <w:sz w:val="24"/>
                <w:szCs w:val="24"/>
              </w:rPr>
              <w:t>银行转账   </w:t>
            </w:r>
            <w:r>
              <w:rPr>
                <w:rFonts w:hint="eastAsia"/>
                <w:sz w:val="24"/>
                <w:szCs w:val="24"/>
              </w:rPr>
              <w:sym w:font="Wingdings" w:char="00FE"/>
            </w:r>
            <w:r>
              <w:rPr>
                <w:rFonts w:hint="eastAsia"/>
                <w:sz w:val="24"/>
                <w:szCs w:val="24"/>
              </w:rPr>
              <w:t>银行电汇 </w:t>
            </w:r>
          </w:p>
          <w:p>
            <w:pPr>
              <w:jc w:val="both"/>
              <w:rPr>
                <w:sz w:val="24"/>
                <w:szCs w:val="24"/>
              </w:rPr>
            </w:pPr>
            <w:r>
              <w:rPr>
                <w:rFonts w:hint="eastAsia"/>
                <w:sz w:val="24"/>
                <w:szCs w:val="24"/>
              </w:rPr>
              <w:t>  </w:t>
            </w:r>
            <w:r>
              <w:rPr>
                <w:rFonts w:hint="eastAsia"/>
                <w:sz w:val="24"/>
                <w:szCs w:val="24"/>
              </w:rPr>
              <w:sym w:font="Wingdings" w:char="00FE"/>
            </w:r>
            <w:r>
              <w:rPr>
                <w:rFonts w:hint="eastAsia"/>
                <w:sz w:val="24"/>
                <w:szCs w:val="24"/>
              </w:rPr>
              <w:t>银行保函（纸质、电子均支持）</w:t>
            </w:r>
            <w:r>
              <w:rPr>
                <w:rFonts w:hint="eastAsia"/>
                <w:sz w:val="24"/>
                <w:szCs w:val="24"/>
                <w:lang w:val="en-US"/>
              </w:rPr>
              <w:t xml:space="preserve">  </w:t>
            </w:r>
            <w:r>
              <w:rPr>
                <w:rFonts w:hint="eastAsia"/>
                <w:sz w:val="24"/>
                <w:szCs w:val="24"/>
              </w:rPr>
              <w:sym w:font="Wingdings" w:char="00FE"/>
            </w:r>
            <w:r>
              <w:rPr>
                <w:rFonts w:hint="eastAsia"/>
                <w:sz w:val="24"/>
                <w:szCs w:val="24"/>
              </w:rPr>
              <w:t>担保机构担保 </w:t>
            </w:r>
          </w:p>
          <w:p>
            <w:pPr>
              <w:jc w:val="both"/>
            </w:pPr>
            <w:r>
              <w:rPr>
                <w:rFonts w:hint="eastAsia"/>
                <w:sz w:val="24"/>
                <w:szCs w:val="24"/>
              </w:rPr>
              <w:t>  </w:t>
            </w:r>
            <w:r>
              <w:rPr>
                <w:rFonts w:hint="eastAsia"/>
                <w:sz w:val="24"/>
                <w:szCs w:val="24"/>
              </w:rPr>
              <w:sym w:font="Wingdings" w:char="00FE"/>
            </w:r>
            <w:r>
              <w:rPr>
                <w:rFonts w:hint="eastAsia"/>
                <w:sz w:val="24"/>
                <w:szCs w:val="24"/>
              </w:rPr>
              <w:t>保证保险</w:t>
            </w:r>
          </w:p>
        </w:tc>
      </w:tr>
    </w:tbl>
    <w:p>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bookmarkStart w:id="17" w:name="_Toc24047"/>
    </w:p>
    <w:p>
      <w:pPr>
        <w:pStyle w:val="2"/>
        <w:rPr>
          <w:rFonts w:asciiTheme="minorEastAsia" w:hAnsiTheme="minorEastAsia" w:eastAsiaTheme="minorEastAsia" w:cstheme="minorEastAsia"/>
        </w:rPr>
        <w:sectPr>
          <w:pgSz w:w="11906" w:h="16838"/>
          <w:pgMar w:top="1383" w:right="1803" w:bottom="1383" w:left="1803" w:header="720" w:footer="850" w:gutter="0"/>
          <w:cols w:space="0" w:num="1"/>
          <w:docGrid w:linePitch="326" w:charSpace="0"/>
        </w:sectPr>
      </w:pPr>
    </w:p>
    <w:p>
      <w:pPr>
        <w:pStyle w:val="6"/>
        <w:spacing w:line="360" w:lineRule="auto"/>
        <w:ind w:left="0" w:firstLine="0"/>
        <w:jc w:val="center"/>
        <w:rPr>
          <w:rFonts w:asciiTheme="minorEastAsia" w:hAnsiTheme="minorEastAsia" w:eastAsiaTheme="minorEastAsia"/>
          <w:b/>
          <w:sz w:val="28"/>
          <w:szCs w:val="28"/>
        </w:rPr>
      </w:pPr>
      <w:bookmarkStart w:id="18" w:name="_Toc113958371"/>
      <w:bookmarkStart w:id="19" w:name="_Toc28087"/>
      <w:r>
        <w:rPr>
          <w:rFonts w:hint="eastAsia" w:asciiTheme="minorEastAsia" w:hAnsiTheme="minorEastAsia" w:eastAsiaTheme="minorEastAsia"/>
          <w:b/>
          <w:sz w:val="28"/>
          <w:szCs w:val="28"/>
        </w:rPr>
        <w:t>投标人须知正文部分</w:t>
      </w:r>
      <w:bookmarkEnd w:id="17"/>
      <w:bookmarkEnd w:id="18"/>
      <w:bookmarkEnd w:id="19"/>
    </w:p>
    <w:p>
      <w:pPr>
        <w:pStyle w:val="6"/>
        <w:spacing w:line="360" w:lineRule="auto"/>
        <w:ind w:left="0" w:firstLine="0"/>
        <w:rPr>
          <w:rFonts w:asciiTheme="minorEastAsia" w:hAnsiTheme="minorEastAsia" w:eastAsiaTheme="minorEastAsia" w:cstheme="minorEastAsia"/>
          <w:b/>
          <w:bCs/>
          <w:sz w:val="21"/>
          <w:szCs w:val="21"/>
        </w:rPr>
      </w:pPr>
      <w:bookmarkStart w:id="20" w:name="_Toc152045529"/>
      <w:bookmarkStart w:id="21" w:name="_Toc152042305"/>
      <w:bookmarkStart w:id="22" w:name="_Toc27419"/>
      <w:bookmarkStart w:id="23" w:name="_Toc504565965"/>
      <w:bookmarkStart w:id="24" w:name="_Toc247513952"/>
      <w:bookmarkStart w:id="25" w:name="_Toc27043"/>
      <w:bookmarkStart w:id="26" w:name="_Toc247527553"/>
      <w:bookmarkStart w:id="27" w:name="_Toc144974497"/>
      <w:bookmarkStart w:id="28" w:name="_Toc113958372"/>
      <w:r>
        <w:rPr>
          <w:rFonts w:hint="eastAsia" w:asciiTheme="minorEastAsia" w:hAnsiTheme="minorEastAsia" w:eastAsiaTheme="minorEastAsia" w:cstheme="minorEastAsia"/>
          <w:b/>
          <w:bCs/>
          <w:sz w:val="21"/>
          <w:szCs w:val="21"/>
        </w:rPr>
        <w:t>1. 总则</w:t>
      </w:r>
      <w:bookmarkEnd w:id="20"/>
      <w:bookmarkEnd w:id="21"/>
      <w:bookmarkEnd w:id="22"/>
      <w:bookmarkEnd w:id="23"/>
      <w:bookmarkEnd w:id="24"/>
      <w:bookmarkEnd w:id="25"/>
      <w:bookmarkEnd w:id="26"/>
      <w:bookmarkEnd w:id="27"/>
      <w:bookmarkEnd w:id="28"/>
    </w:p>
    <w:p>
      <w:pPr>
        <w:pStyle w:val="7"/>
        <w:spacing w:line="360" w:lineRule="auto"/>
        <w:ind w:left="0" w:firstLine="0"/>
        <w:rPr>
          <w:rFonts w:asciiTheme="minorEastAsia" w:hAnsiTheme="minorEastAsia" w:eastAsiaTheme="minorEastAsia" w:cstheme="minorEastAsia"/>
          <w:sz w:val="21"/>
          <w:szCs w:val="21"/>
        </w:rPr>
      </w:pPr>
      <w:bookmarkStart w:id="29" w:name="_Toc113958373"/>
      <w:bookmarkStart w:id="30" w:name="_Toc23652"/>
      <w:bookmarkStart w:id="31" w:name="_Toc152045530"/>
      <w:bookmarkStart w:id="32" w:name="_Toc152042306"/>
      <w:bookmarkStart w:id="33" w:name="_Toc247513953"/>
      <w:bookmarkStart w:id="34" w:name="_Toc247527554"/>
      <w:bookmarkStart w:id="35" w:name="_Toc504565966"/>
      <w:bookmarkStart w:id="36" w:name="_Toc30332"/>
      <w:bookmarkStart w:id="37" w:name="_Toc144974498"/>
      <w:r>
        <w:rPr>
          <w:rFonts w:hint="eastAsia" w:asciiTheme="minorEastAsia" w:hAnsiTheme="minorEastAsia" w:eastAsiaTheme="minorEastAsia" w:cstheme="minorEastAsia"/>
          <w:sz w:val="21"/>
          <w:szCs w:val="21"/>
        </w:rPr>
        <w:t>1.1 项目概况</w:t>
      </w:r>
      <w:bookmarkEnd w:id="29"/>
      <w:bookmarkEnd w:id="30"/>
      <w:bookmarkEnd w:id="31"/>
      <w:bookmarkEnd w:id="32"/>
      <w:bookmarkEnd w:id="33"/>
      <w:bookmarkEnd w:id="34"/>
      <w:bookmarkEnd w:id="35"/>
      <w:bookmarkEnd w:id="36"/>
      <w:bookmarkEnd w:id="37"/>
    </w:p>
    <w:p>
      <w:pPr>
        <w:spacing w:line="360" w:lineRule="auto"/>
        <w:ind w:firstLine="420" w:firstLineChars="200"/>
        <w:rPr>
          <w:rFonts w:asciiTheme="minorEastAsia" w:hAnsiTheme="minorEastAsia" w:eastAsiaTheme="minorEastAsia" w:cstheme="minorEastAsia"/>
          <w:sz w:val="21"/>
          <w:szCs w:val="21"/>
        </w:rPr>
      </w:pPr>
      <w:bookmarkStart w:id="38" w:name="_Toc2009"/>
      <w:r>
        <w:rPr>
          <w:rFonts w:hint="eastAsia" w:asciiTheme="minorEastAsia" w:hAnsiTheme="minorEastAsia" w:eastAsiaTheme="minorEastAsia" w:cstheme="minorEastAsia"/>
          <w:sz w:val="21"/>
          <w:szCs w:val="21"/>
        </w:rPr>
        <w:t>1.1.1根据《中华人民共和国招标投标法》等有关法律、法规和规章的规定，本招标项目已具备招标条件，现对该项目设计施工进行总承包招标。</w:t>
      </w:r>
      <w:bookmarkEnd w:id="38"/>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1.1.2 招标人：见投标人须知前附表。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1.1.3 招标代理机构：见投标人须知前附表。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1.1.4 招标项目名称：见投标人须知前附表。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1.1.5 项目建设地点：见投标人须知前附表。</w:t>
      </w:r>
    </w:p>
    <w:p>
      <w:pPr>
        <w:pStyle w:val="7"/>
        <w:spacing w:line="360" w:lineRule="auto"/>
        <w:ind w:left="0" w:firstLine="0"/>
        <w:rPr>
          <w:rFonts w:asciiTheme="minorEastAsia" w:hAnsiTheme="minorEastAsia" w:eastAsiaTheme="minorEastAsia" w:cstheme="minorEastAsia"/>
          <w:sz w:val="21"/>
          <w:szCs w:val="21"/>
        </w:rPr>
      </w:pPr>
      <w:bookmarkStart w:id="39" w:name="_Toc504565967"/>
      <w:bookmarkStart w:id="40" w:name="_Toc247513954"/>
      <w:bookmarkStart w:id="41" w:name="_Toc144974499"/>
      <w:bookmarkStart w:id="42" w:name="_Toc152042307"/>
      <w:bookmarkStart w:id="43" w:name="_Toc113958374"/>
      <w:bookmarkStart w:id="44" w:name="_Toc5300"/>
      <w:bookmarkStart w:id="45" w:name="_Toc247527555"/>
      <w:bookmarkStart w:id="46" w:name="_Toc28740"/>
      <w:bookmarkStart w:id="47" w:name="_Toc152045531"/>
      <w:r>
        <w:rPr>
          <w:rFonts w:hint="eastAsia" w:asciiTheme="minorEastAsia" w:hAnsiTheme="minorEastAsia" w:eastAsiaTheme="minorEastAsia" w:cstheme="minorEastAsia"/>
          <w:sz w:val="21"/>
          <w:szCs w:val="21"/>
        </w:rPr>
        <w:t>1.2 项目的资金来源和落实情况</w:t>
      </w:r>
      <w:bookmarkEnd w:id="39"/>
      <w:bookmarkEnd w:id="40"/>
      <w:bookmarkEnd w:id="41"/>
      <w:bookmarkEnd w:id="42"/>
      <w:bookmarkEnd w:id="43"/>
      <w:bookmarkEnd w:id="44"/>
      <w:bookmarkEnd w:id="45"/>
      <w:bookmarkEnd w:id="46"/>
      <w:bookmarkEnd w:id="47"/>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 资金来源及比例：见投标人须知前附表。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1.2.2 资金落实情况：见投标人须知前附表。</w:t>
      </w:r>
    </w:p>
    <w:p>
      <w:pPr>
        <w:pStyle w:val="7"/>
        <w:spacing w:line="360" w:lineRule="auto"/>
        <w:ind w:left="0" w:firstLine="0"/>
        <w:rPr>
          <w:rFonts w:asciiTheme="minorEastAsia" w:hAnsiTheme="minorEastAsia" w:eastAsiaTheme="minorEastAsia" w:cstheme="minorEastAsia"/>
          <w:sz w:val="21"/>
          <w:szCs w:val="21"/>
        </w:rPr>
      </w:pPr>
      <w:bookmarkStart w:id="48" w:name="_Toc152045532"/>
      <w:bookmarkStart w:id="49" w:name="_Toc152042308"/>
      <w:bookmarkStart w:id="50" w:name="_Toc144974500"/>
      <w:bookmarkStart w:id="51" w:name="_Toc247513955"/>
      <w:bookmarkStart w:id="52" w:name="_Toc247527556"/>
      <w:bookmarkStart w:id="53" w:name="_Toc113958375"/>
      <w:bookmarkStart w:id="54" w:name="_Toc504565968"/>
      <w:bookmarkStart w:id="55" w:name="_Toc20779"/>
      <w:bookmarkStart w:id="56" w:name="_Toc22788"/>
      <w:r>
        <w:rPr>
          <w:rFonts w:hint="eastAsia" w:asciiTheme="minorEastAsia" w:hAnsiTheme="minorEastAsia" w:eastAsiaTheme="minorEastAsia" w:cstheme="minorEastAsia"/>
          <w:sz w:val="21"/>
          <w:szCs w:val="21"/>
        </w:rPr>
        <w:t>1.3 招标范围、计划工期和</w:t>
      </w:r>
      <w:bookmarkEnd w:id="48"/>
      <w:bookmarkEnd w:id="49"/>
      <w:bookmarkEnd w:id="50"/>
      <w:bookmarkEnd w:id="51"/>
      <w:bookmarkEnd w:id="52"/>
      <w:r>
        <w:rPr>
          <w:rFonts w:hint="eastAsia" w:asciiTheme="minorEastAsia" w:hAnsiTheme="minorEastAsia" w:eastAsiaTheme="minorEastAsia" w:cstheme="minorEastAsia"/>
          <w:sz w:val="21"/>
          <w:szCs w:val="21"/>
        </w:rPr>
        <w:t>质量标准</w:t>
      </w:r>
      <w:bookmarkEnd w:id="53"/>
      <w:bookmarkEnd w:id="54"/>
      <w:bookmarkEnd w:id="55"/>
      <w:bookmarkEnd w:id="56"/>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1.3.1 招标范围：见投标人须知前附表。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1.3.2 计划工期：见投标人须知前附表。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 质量标准：见投标人须知前附表。</w:t>
      </w:r>
    </w:p>
    <w:p>
      <w:pPr>
        <w:pStyle w:val="7"/>
        <w:spacing w:line="360" w:lineRule="auto"/>
        <w:ind w:left="0" w:firstLine="0"/>
        <w:rPr>
          <w:rFonts w:asciiTheme="minorEastAsia" w:hAnsiTheme="minorEastAsia" w:eastAsiaTheme="minorEastAsia" w:cstheme="minorEastAsia"/>
          <w:sz w:val="21"/>
          <w:szCs w:val="21"/>
        </w:rPr>
      </w:pPr>
      <w:bookmarkStart w:id="57" w:name="_Toc247527558"/>
      <w:bookmarkStart w:id="58" w:name="_Toc113958376"/>
      <w:bookmarkStart w:id="59" w:name="_Toc30228"/>
      <w:bookmarkStart w:id="60" w:name="_Toc152045534"/>
      <w:bookmarkStart w:id="61" w:name="_Toc152042310"/>
      <w:bookmarkStart w:id="62" w:name="_Toc504565969"/>
      <w:bookmarkStart w:id="63" w:name="_Toc247513957"/>
      <w:bookmarkStart w:id="64" w:name="_Toc144974502"/>
      <w:bookmarkStart w:id="65" w:name="_Toc608"/>
      <w:r>
        <w:rPr>
          <w:rFonts w:hint="eastAsia" w:asciiTheme="minorEastAsia" w:hAnsiTheme="minorEastAsia" w:eastAsiaTheme="minorEastAsia" w:cstheme="minorEastAsia"/>
          <w:sz w:val="21"/>
          <w:szCs w:val="21"/>
        </w:rPr>
        <w:t>1.4 投标人资格要求</w:t>
      </w:r>
      <w:bookmarkEnd w:id="57"/>
      <w:bookmarkEnd w:id="58"/>
      <w:bookmarkEnd w:id="59"/>
      <w:bookmarkEnd w:id="60"/>
      <w:bookmarkEnd w:id="61"/>
      <w:bookmarkEnd w:id="62"/>
      <w:bookmarkEnd w:id="63"/>
      <w:bookmarkEnd w:id="64"/>
      <w:bookmarkEnd w:id="65"/>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 投标人应具备承担本招标项目资质条件、能力和信誉。</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（1）资质要求：见投标人须知前附表；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（2）财务要求：见投标人须知前附表；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（3）业绩要求：见投标人须知前附表；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（4）信誉要求：见投标人须知前附表；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（5）项目负责人的资格要求：具体要求见投标人须知前附表；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（6）设计负责人的资格要求：具体要求见投标人须知前附表；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（7）施工负责人的资格要求：具体要求见投标人须知前附表；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（8）施工机械设备：见投标人须知前附表；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（9）项目管理机构及人员：见投标人须知前附表；</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（10）其他要求：见投标人须知前附表。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1.4.2 投标人须知前附表规定接受联合体投标的，除应符合本章第1.4.1项和投标人须知前附表的要求外，还应遵守以下规定： </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（1）联合体各方应按招标文件提供的格式签订联合体协议书，明确联合体牵头人和各方权利义务；</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（2）由同一专业的单位组成的联合体，按照资质等级较低的单位确定资质等级；</w:t>
      </w:r>
    </w:p>
    <w:p>
      <w:pPr>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（3）联合体各方不得再以自己名义单独或参加其他联合体在本招标项目中投标。</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1.4.3 投标人不得存在下列情形之一：</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bookmarkStart w:id="66" w:name="_Toc152042311"/>
      <w:bookmarkStart w:id="67" w:name="_Toc247527559"/>
      <w:bookmarkStart w:id="68" w:name="_Toc144974503"/>
      <w:bookmarkStart w:id="69" w:name="_Toc152045535"/>
      <w:bookmarkStart w:id="70" w:name="_Toc247513958"/>
      <w:bookmarkStart w:id="71" w:name="_Toc504565970"/>
      <w:r>
        <w:rPr>
          <w:rFonts w:hint="eastAsia" w:asciiTheme="minorEastAsia" w:hAnsiTheme="minorEastAsia" w:eastAsiaTheme="minorEastAsia" w:cstheme="minorEastAsia"/>
          <w:kern w:val="10"/>
          <w:sz w:val="21"/>
          <w:szCs w:val="21"/>
        </w:rPr>
        <w:t xml:space="preserve">（1）为招标人不具有独立法人资格的附属机构(单位)； </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（2）为本项目（标段）前期准备提供设计或咨询服务的,但设计施工总承包的除外；</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 xml:space="preserve">（3）为本项目（标段）的监理人； </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（4）为本项目（标段）的代建人；</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（5）为本项目（标段）提供招标代理服务的；</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（6）与本标段的监理人或代建人或招标代理机构同为一个法定代表人的；</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（7）与本标段的监理人或代建人或招标代理机构相互控股或参股的；</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（8）投标时（以递交投标文件截止时间为准）投标人被责令停业，投标资格被取消，财产处于被接管、冻结或破产状态；</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（9）投标时（以递交投标文件截止时间为准）投标企业或企业法定代表人或项目负责人被列入失信被执行人名单的；</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（10）因围标、串标、弄虚作假骗取中标、出现重大工程质量或安全事故等受到限制投标的行政处罚，且在投标限制期限内的；</w:t>
      </w:r>
    </w:p>
    <w:p>
      <w:pPr>
        <w:adjustRightInd w:val="0"/>
        <w:snapToGrid w:val="0"/>
        <w:spacing w:line="360" w:lineRule="auto"/>
        <w:ind w:firstLine="210" w:firstLineChars="100"/>
        <w:rPr>
          <w:rFonts w:asciiTheme="minorEastAsia" w:hAnsiTheme="minorEastAsia" w:eastAsiaTheme="minorEastAsia" w:cstheme="minorEastAsia"/>
          <w:kern w:val="10"/>
          <w:sz w:val="21"/>
          <w:szCs w:val="21"/>
        </w:rPr>
      </w:pPr>
      <w:r>
        <w:rPr>
          <w:rFonts w:hint="eastAsia" w:asciiTheme="minorEastAsia" w:hAnsiTheme="minorEastAsia" w:eastAsiaTheme="minorEastAsia" w:cstheme="minorEastAsia"/>
          <w:kern w:val="10"/>
          <w:sz w:val="21"/>
          <w:szCs w:val="21"/>
        </w:rPr>
        <w:t>（11）投标时（以递交投标文件截止时间为准）被列入淮北市农民工工资支付保障领导小组办公室出具的《淮北市建筑领域“黑名单”企业和个人一览表》。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招标人特别约定，存在下列情形之一的，拒绝其参加本次投标（已投标的其投标文件将被否决）：无</w:t>
      </w:r>
    </w:p>
    <w:p>
      <w:pPr>
        <w:pStyle w:val="7"/>
        <w:spacing w:line="360" w:lineRule="auto"/>
        <w:ind w:left="0" w:firstLine="0"/>
        <w:rPr>
          <w:rFonts w:asciiTheme="minorEastAsia" w:hAnsiTheme="minorEastAsia" w:eastAsiaTheme="minorEastAsia" w:cstheme="minorEastAsia"/>
          <w:sz w:val="21"/>
          <w:szCs w:val="21"/>
        </w:rPr>
      </w:pPr>
      <w:bookmarkStart w:id="72" w:name="_Toc6378"/>
      <w:bookmarkStart w:id="73" w:name="_Toc16020"/>
      <w:bookmarkStart w:id="74" w:name="_Toc113958377"/>
      <w:r>
        <w:rPr>
          <w:rFonts w:hint="eastAsia" w:asciiTheme="minorEastAsia" w:hAnsiTheme="minorEastAsia" w:eastAsiaTheme="minorEastAsia" w:cstheme="minorEastAsia"/>
          <w:sz w:val="21"/>
          <w:szCs w:val="21"/>
        </w:rPr>
        <w:t>1.5 费用承担</w:t>
      </w:r>
      <w:bookmarkEnd w:id="66"/>
      <w:bookmarkEnd w:id="67"/>
      <w:bookmarkEnd w:id="68"/>
      <w:bookmarkEnd w:id="69"/>
      <w:bookmarkEnd w:id="70"/>
      <w:r>
        <w:rPr>
          <w:rFonts w:hint="eastAsia" w:asciiTheme="minorEastAsia" w:hAnsiTheme="minorEastAsia" w:eastAsiaTheme="minorEastAsia" w:cstheme="minorEastAsia"/>
          <w:sz w:val="21"/>
          <w:szCs w:val="21"/>
        </w:rPr>
        <w:t>和设计成果补偿</w:t>
      </w:r>
      <w:bookmarkEnd w:id="71"/>
      <w:bookmarkEnd w:id="72"/>
      <w:bookmarkEnd w:id="73"/>
      <w:bookmarkEnd w:id="74"/>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 投标人准备和参加投标活动发生的费用自理。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 招标人对符合招标文件规定的未中标人的设计成果进行补偿的，按投标人须知前附表规定给予补偿，并有权免费使用未中标人设计成果。</w:t>
      </w:r>
    </w:p>
    <w:p>
      <w:pPr>
        <w:pStyle w:val="7"/>
        <w:spacing w:line="360" w:lineRule="auto"/>
        <w:ind w:left="0" w:firstLine="0"/>
        <w:rPr>
          <w:rFonts w:asciiTheme="minorEastAsia" w:hAnsiTheme="minorEastAsia" w:eastAsiaTheme="minorEastAsia" w:cstheme="minorEastAsia"/>
          <w:sz w:val="21"/>
          <w:szCs w:val="21"/>
        </w:rPr>
      </w:pPr>
      <w:bookmarkStart w:id="75" w:name="_Toc612"/>
      <w:bookmarkStart w:id="76" w:name="_Toc113958378"/>
      <w:bookmarkStart w:id="77" w:name="_Toc247513959"/>
      <w:bookmarkStart w:id="78" w:name="_Toc152045536"/>
      <w:bookmarkStart w:id="79" w:name="_Toc144974504"/>
      <w:bookmarkStart w:id="80" w:name="_Toc504565971"/>
      <w:bookmarkStart w:id="81" w:name="_Toc20366"/>
      <w:bookmarkStart w:id="82" w:name="_Toc247527560"/>
      <w:bookmarkStart w:id="83" w:name="_Toc152042312"/>
      <w:r>
        <w:rPr>
          <w:rFonts w:hint="eastAsia" w:asciiTheme="minorEastAsia" w:hAnsiTheme="minorEastAsia" w:eastAsiaTheme="minorEastAsia" w:cstheme="minorEastAsia"/>
          <w:sz w:val="21"/>
          <w:szCs w:val="21"/>
        </w:rPr>
        <w:t>1.6 保密</w:t>
      </w:r>
      <w:bookmarkEnd w:id="75"/>
      <w:bookmarkEnd w:id="76"/>
      <w:bookmarkEnd w:id="77"/>
      <w:bookmarkEnd w:id="78"/>
      <w:bookmarkEnd w:id="79"/>
      <w:bookmarkEnd w:id="80"/>
      <w:bookmarkEnd w:id="81"/>
      <w:bookmarkEnd w:id="82"/>
      <w:bookmarkEnd w:id="83"/>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参与招标投标活动的各方应对招标文件和投标文件中的商业和技术等秘密保密，否则应承担相应的法律责任。</w:t>
      </w:r>
    </w:p>
    <w:p>
      <w:pPr>
        <w:pStyle w:val="7"/>
        <w:spacing w:line="360" w:lineRule="auto"/>
        <w:ind w:left="0" w:firstLine="0"/>
        <w:rPr>
          <w:rFonts w:asciiTheme="minorEastAsia" w:hAnsiTheme="minorEastAsia" w:eastAsiaTheme="minorEastAsia" w:cstheme="minorEastAsia"/>
          <w:sz w:val="21"/>
          <w:szCs w:val="21"/>
        </w:rPr>
      </w:pPr>
      <w:bookmarkStart w:id="84" w:name="_Toc144974505"/>
      <w:bookmarkStart w:id="85" w:name="_Toc16527"/>
      <w:bookmarkStart w:id="86" w:name="_Toc152045537"/>
      <w:bookmarkStart w:id="87" w:name="_Toc247527561"/>
      <w:bookmarkStart w:id="88" w:name="_Toc113958379"/>
      <w:bookmarkStart w:id="89" w:name="_Toc31735"/>
      <w:bookmarkStart w:id="90" w:name="_Toc152042313"/>
      <w:bookmarkStart w:id="91" w:name="_Toc504565972"/>
      <w:bookmarkStart w:id="92" w:name="_Toc247513960"/>
      <w:r>
        <w:rPr>
          <w:rFonts w:hint="eastAsia" w:asciiTheme="minorEastAsia" w:hAnsiTheme="minorEastAsia" w:eastAsiaTheme="minorEastAsia" w:cstheme="minorEastAsia"/>
          <w:sz w:val="21"/>
          <w:szCs w:val="21"/>
        </w:rPr>
        <w:t>1.7 语言</w:t>
      </w:r>
      <w:bookmarkEnd w:id="84"/>
      <w:r>
        <w:rPr>
          <w:rFonts w:hint="eastAsia" w:asciiTheme="minorEastAsia" w:hAnsiTheme="minorEastAsia" w:eastAsiaTheme="minorEastAsia" w:cstheme="minorEastAsia"/>
          <w:sz w:val="21"/>
          <w:szCs w:val="21"/>
        </w:rPr>
        <w:t>文字</w:t>
      </w:r>
      <w:bookmarkEnd w:id="85"/>
      <w:bookmarkEnd w:id="86"/>
      <w:bookmarkEnd w:id="87"/>
      <w:bookmarkEnd w:id="88"/>
      <w:bookmarkEnd w:id="89"/>
      <w:bookmarkEnd w:id="90"/>
      <w:bookmarkEnd w:id="91"/>
      <w:bookmarkEnd w:id="92"/>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招标投标文件使用的语言文字为中文。专用术语使用外文的，应附有中文注释。</w:t>
      </w:r>
    </w:p>
    <w:p>
      <w:pPr>
        <w:pStyle w:val="7"/>
        <w:spacing w:line="360" w:lineRule="auto"/>
        <w:ind w:left="0" w:firstLine="0"/>
        <w:rPr>
          <w:rFonts w:asciiTheme="minorEastAsia" w:hAnsiTheme="minorEastAsia" w:eastAsiaTheme="minorEastAsia" w:cstheme="minorEastAsia"/>
          <w:sz w:val="21"/>
          <w:szCs w:val="21"/>
        </w:rPr>
      </w:pPr>
      <w:bookmarkStart w:id="93" w:name="_Toc152045538"/>
      <w:bookmarkStart w:id="94" w:name="_Toc10602"/>
      <w:bookmarkStart w:id="95" w:name="_Toc247513961"/>
      <w:bookmarkStart w:id="96" w:name="_Toc152042314"/>
      <w:bookmarkStart w:id="97" w:name="_Toc113958380"/>
      <w:bookmarkStart w:id="98" w:name="_Toc247527562"/>
      <w:bookmarkStart w:id="99" w:name="_Toc144974506"/>
      <w:bookmarkStart w:id="100" w:name="_Toc504565973"/>
      <w:bookmarkStart w:id="101" w:name="_Toc25518"/>
      <w:r>
        <w:rPr>
          <w:rFonts w:hint="eastAsia" w:asciiTheme="minorEastAsia" w:hAnsiTheme="minorEastAsia" w:eastAsiaTheme="minorEastAsia" w:cstheme="minorEastAsia"/>
          <w:sz w:val="21"/>
          <w:szCs w:val="21"/>
        </w:rPr>
        <w:t>1.8 计量单位</w:t>
      </w:r>
      <w:bookmarkEnd w:id="93"/>
      <w:bookmarkEnd w:id="94"/>
      <w:bookmarkEnd w:id="95"/>
      <w:bookmarkEnd w:id="96"/>
      <w:bookmarkEnd w:id="97"/>
      <w:bookmarkEnd w:id="98"/>
      <w:bookmarkEnd w:id="99"/>
      <w:bookmarkEnd w:id="100"/>
      <w:bookmarkEnd w:id="101"/>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所有计量均采用中华人民共和国法定计量单位。</w:t>
      </w:r>
    </w:p>
    <w:p>
      <w:pPr>
        <w:pStyle w:val="7"/>
        <w:spacing w:line="360" w:lineRule="auto"/>
        <w:ind w:left="0" w:firstLine="0"/>
        <w:rPr>
          <w:rFonts w:asciiTheme="minorEastAsia" w:hAnsiTheme="minorEastAsia" w:eastAsiaTheme="minorEastAsia" w:cstheme="minorEastAsia"/>
          <w:sz w:val="21"/>
          <w:szCs w:val="21"/>
        </w:rPr>
      </w:pPr>
      <w:bookmarkStart w:id="102" w:name="_Toc144974507"/>
      <w:bookmarkStart w:id="103" w:name="_Toc24061"/>
      <w:bookmarkStart w:id="104" w:name="_Toc152042315"/>
      <w:bookmarkStart w:id="105" w:name="_Toc113958381"/>
      <w:bookmarkStart w:id="106" w:name="_Toc247513962"/>
      <w:bookmarkStart w:id="107" w:name="_Toc504565974"/>
      <w:bookmarkStart w:id="108" w:name="_Toc152045539"/>
      <w:bookmarkStart w:id="109" w:name="_Toc12830"/>
      <w:bookmarkStart w:id="110" w:name="_Toc247527563"/>
      <w:r>
        <w:rPr>
          <w:rFonts w:hint="eastAsia" w:asciiTheme="minorEastAsia" w:hAnsiTheme="minorEastAsia" w:eastAsiaTheme="minorEastAsia" w:cstheme="minorEastAsia"/>
          <w:sz w:val="21"/>
          <w:szCs w:val="21"/>
        </w:rPr>
        <w:t>1.9 踏勘现场</w:t>
      </w:r>
      <w:bookmarkEnd w:id="102"/>
      <w:bookmarkEnd w:id="103"/>
      <w:bookmarkEnd w:id="104"/>
      <w:bookmarkEnd w:id="105"/>
      <w:bookmarkEnd w:id="106"/>
      <w:bookmarkEnd w:id="107"/>
      <w:bookmarkEnd w:id="108"/>
      <w:bookmarkEnd w:id="109"/>
      <w:bookmarkEnd w:id="110"/>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1.9.1 投标人须知前附表规定组织踏勘现场的，招标人按投标人须知前附表规定的时间、地点组织投标人踏勘项目现场。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 投标人踏勘现场发生的费用自理。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1.9.3 除招标人的原因外，投标人自行负责在踏勘现场中所发生的人员伤亡和财产损失。</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 招标人在踏勘现场中介绍的工程场地和相关的周边环境情况，供投标人在编制投标文件时参考，招标人不对投标人据此作出的判断和决策负责。</w:t>
      </w:r>
    </w:p>
    <w:p>
      <w:pPr>
        <w:pStyle w:val="7"/>
        <w:spacing w:line="360" w:lineRule="auto"/>
        <w:ind w:left="0" w:firstLine="0"/>
        <w:rPr>
          <w:rFonts w:asciiTheme="minorEastAsia" w:hAnsiTheme="minorEastAsia" w:eastAsiaTheme="minorEastAsia" w:cstheme="minorEastAsia"/>
          <w:sz w:val="21"/>
          <w:szCs w:val="21"/>
        </w:rPr>
      </w:pPr>
      <w:bookmarkStart w:id="111" w:name="_Toc152045540"/>
      <w:bookmarkStart w:id="112" w:name="_Toc504565975"/>
      <w:bookmarkStart w:id="113" w:name="_Toc247513963"/>
      <w:bookmarkStart w:id="114" w:name="_Toc113958382"/>
      <w:bookmarkStart w:id="115" w:name="_Toc10034"/>
      <w:bookmarkStart w:id="116" w:name="_Toc4308"/>
      <w:bookmarkStart w:id="117" w:name="_Toc247527564"/>
      <w:bookmarkStart w:id="118" w:name="_Toc152042316"/>
      <w:bookmarkStart w:id="119" w:name="_Toc144974508"/>
      <w:r>
        <w:rPr>
          <w:rFonts w:hint="eastAsia" w:asciiTheme="minorEastAsia" w:hAnsiTheme="minorEastAsia" w:eastAsiaTheme="minorEastAsia" w:cstheme="minorEastAsia"/>
          <w:sz w:val="21"/>
          <w:szCs w:val="21"/>
        </w:rPr>
        <w:t>1.10 投标预备会</w:t>
      </w:r>
      <w:bookmarkEnd w:id="111"/>
      <w:bookmarkEnd w:id="112"/>
      <w:bookmarkEnd w:id="113"/>
      <w:bookmarkEnd w:id="114"/>
      <w:bookmarkEnd w:id="115"/>
      <w:bookmarkEnd w:id="116"/>
      <w:bookmarkEnd w:id="117"/>
      <w:bookmarkEnd w:id="118"/>
      <w:bookmarkEnd w:id="119"/>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1.10.1 投标人须知前附表规定召开投标预备会的，招标人按投标人须知前附表规定的时间和地点召开投标预备会，澄清投标人提出的问题。</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1.10.2 投标人应在投标人须知前附表规定的时间前，以书面形式将提出的问题送达招标人，以便招标人在会议期间澄清。</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1.10.3 投标预备会后，招标人在投标人须知前附表规定的时间内，将对投标人所提问题的澄清，以书面形式通知所有购买招标文件的投标人。该澄清内容为招标文件的组成部分。</w:t>
      </w:r>
    </w:p>
    <w:p>
      <w:pPr>
        <w:adjustRightInd w:val="0"/>
        <w:snapToGrid w:val="0"/>
        <w:spacing w:line="360" w:lineRule="auto"/>
        <w:rPr>
          <w:rFonts w:asciiTheme="minorEastAsia" w:hAnsiTheme="minorEastAsia" w:eastAsiaTheme="minorEastAsia" w:cstheme="minorEastAsia"/>
          <w:b/>
          <w:kern w:val="10"/>
          <w:sz w:val="21"/>
          <w:szCs w:val="21"/>
        </w:rPr>
      </w:pPr>
      <w:r>
        <w:rPr>
          <w:rFonts w:hint="eastAsia" w:asciiTheme="minorEastAsia" w:hAnsiTheme="minorEastAsia" w:eastAsiaTheme="minorEastAsia" w:cstheme="minorEastAsia"/>
          <w:b/>
          <w:kern w:val="10"/>
          <w:sz w:val="21"/>
          <w:szCs w:val="21"/>
        </w:rPr>
        <w:t xml:space="preserve">本次招标不召开投标预备会。 </w:t>
      </w:r>
    </w:p>
    <w:p>
      <w:pPr>
        <w:pStyle w:val="7"/>
        <w:spacing w:line="360" w:lineRule="auto"/>
        <w:ind w:left="0" w:firstLine="0"/>
        <w:rPr>
          <w:rFonts w:asciiTheme="minorEastAsia" w:hAnsiTheme="minorEastAsia" w:eastAsiaTheme="minorEastAsia" w:cstheme="minorEastAsia"/>
          <w:sz w:val="21"/>
          <w:szCs w:val="21"/>
        </w:rPr>
      </w:pPr>
      <w:bookmarkStart w:id="120" w:name="_Toc590"/>
      <w:bookmarkStart w:id="121" w:name="_Toc247527565"/>
      <w:bookmarkStart w:id="122" w:name="_Toc247513964"/>
      <w:bookmarkStart w:id="123" w:name="_Toc504565976"/>
      <w:bookmarkStart w:id="124" w:name="_Toc152045541"/>
      <w:bookmarkStart w:id="125" w:name="_Toc144974509"/>
      <w:bookmarkStart w:id="126" w:name="_Toc32187"/>
      <w:bookmarkStart w:id="127" w:name="_Toc113958383"/>
      <w:bookmarkStart w:id="128" w:name="_Toc152042317"/>
      <w:r>
        <w:rPr>
          <w:rFonts w:hint="eastAsia" w:asciiTheme="minorEastAsia" w:hAnsiTheme="minorEastAsia" w:eastAsiaTheme="minorEastAsia" w:cstheme="minorEastAsia"/>
          <w:sz w:val="21"/>
          <w:szCs w:val="21"/>
        </w:rPr>
        <w:t>1.11 分包</w:t>
      </w:r>
      <w:bookmarkEnd w:id="120"/>
      <w:bookmarkEnd w:id="121"/>
      <w:bookmarkEnd w:id="122"/>
      <w:bookmarkEnd w:id="123"/>
      <w:bookmarkEnd w:id="124"/>
      <w:bookmarkEnd w:id="125"/>
      <w:bookmarkEnd w:id="126"/>
      <w:bookmarkEnd w:id="127"/>
      <w:bookmarkEnd w:id="128"/>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详见前附表。</w:t>
      </w:r>
    </w:p>
    <w:p>
      <w:pPr>
        <w:pStyle w:val="7"/>
        <w:spacing w:line="360" w:lineRule="auto"/>
        <w:ind w:left="0" w:firstLine="0"/>
        <w:rPr>
          <w:rFonts w:asciiTheme="minorEastAsia" w:hAnsiTheme="minorEastAsia" w:eastAsiaTheme="minorEastAsia" w:cstheme="minorEastAsia"/>
          <w:sz w:val="21"/>
          <w:szCs w:val="21"/>
        </w:rPr>
      </w:pPr>
      <w:bookmarkStart w:id="129" w:name="_Toc113958384"/>
      <w:bookmarkStart w:id="130" w:name="_Toc247527566"/>
      <w:bookmarkStart w:id="131" w:name="_Toc504565977"/>
      <w:bookmarkStart w:id="132" w:name="_Toc511"/>
      <w:bookmarkStart w:id="133" w:name="_Toc247513965"/>
      <w:bookmarkStart w:id="134" w:name="_Toc28374"/>
      <w:r>
        <w:rPr>
          <w:rFonts w:hint="eastAsia" w:asciiTheme="minorEastAsia" w:hAnsiTheme="minorEastAsia" w:eastAsiaTheme="minorEastAsia" w:cstheme="minorEastAsia"/>
          <w:sz w:val="21"/>
          <w:szCs w:val="21"/>
        </w:rPr>
        <w:t>1.12 偏离</w:t>
      </w:r>
      <w:bookmarkEnd w:id="129"/>
      <w:bookmarkEnd w:id="130"/>
      <w:bookmarkEnd w:id="131"/>
      <w:bookmarkEnd w:id="132"/>
      <w:bookmarkEnd w:id="133"/>
      <w:bookmarkEnd w:id="134"/>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投标人须知前附表允许投标文件偏离招标文件某些要求的，偏离应当符合招标文件规定的偏离范围和幅度。</w:t>
      </w:r>
    </w:p>
    <w:p>
      <w:pPr>
        <w:pStyle w:val="6"/>
        <w:spacing w:line="360" w:lineRule="auto"/>
        <w:ind w:left="0" w:firstLine="0"/>
        <w:rPr>
          <w:rFonts w:asciiTheme="minorEastAsia" w:hAnsiTheme="minorEastAsia" w:eastAsiaTheme="minorEastAsia" w:cstheme="minorEastAsia"/>
          <w:b/>
          <w:bCs/>
          <w:sz w:val="21"/>
          <w:szCs w:val="21"/>
        </w:rPr>
      </w:pPr>
      <w:bookmarkStart w:id="135" w:name="_Toc113958385"/>
      <w:bookmarkStart w:id="136" w:name="_Toc247513966"/>
      <w:bookmarkStart w:id="137" w:name="_Toc152042318"/>
      <w:bookmarkStart w:id="138" w:name="_Toc152045542"/>
      <w:bookmarkStart w:id="139" w:name="_Toc247527567"/>
      <w:bookmarkStart w:id="140" w:name="_Toc23510"/>
      <w:bookmarkStart w:id="141" w:name="_Toc144974510"/>
      <w:bookmarkStart w:id="142" w:name="_Toc504565978"/>
      <w:bookmarkStart w:id="143" w:name="_Toc20411"/>
      <w:r>
        <w:rPr>
          <w:rFonts w:hint="eastAsia" w:asciiTheme="minorEastAsia" w:hAnsiTheme="minorEastAsia" w:eastAsiaTheme="minorEastAsia" w:cstheme="minorEastAsia"/>
          <w:b/>
          <w:bCs/>
          <w:sz w:val="21"/>
          <w:szCs w:val="21"/>
        </w:rPr>
        <w:t>2. 招标文件</w:t>
      </w:r>
      <w:bookmarkEnd w:id="135"/>
      <w:bookmarkEnd w:id="136"/>
      <w:bookmarkEnd w:id="137"/>
      <w:bookmarkEnd w:id="138"/>
      <w:bookmarkEnd w:id="139"/>
      <w:bookmarkEnd w:id="140"/>
      <w:bookmarkEnd w:id="141"/>
      <w:bookmarkEnd w:id="142"/>
      <w:bookmarkEnd w:id="143"/>
    </w:p>
    <w:p>
      <w:pPr>
        <w:pStyle w:val="7"/>
        <w:spacing w:line="360" w:lineRule="auto"/>
        <w:ind w:left="0" w:firstLine="0"/>
        <w:rPr>
          <w:rFonts w:asciiTheme="minorEastAsia" w:hAnsiTheme="minorEastAsia" w:eastAsiaTheme="minorEastAsia" w:cstheme="minorEastAsia"/>
          <w:sz w:val="21"/>
          <w:szCs w:val="21"/>
        </w:rPr>
      </w:pPr>
      <w:bookmarkStart w:id="144" w:name="_Toc25740"/>
      <w:bookmarkStart w:id="145" w:name="_Toc152045543"/>
      <w:bookmarkStart w:id="146" w:name="_Toc152042319"/>
      <w:bookmarkStart w:id="147" w:name="_Toc144974511"/>
      <w:bookmarkStart w:id="148" w:name="_Toc113958386"/>
      <w:bookmarkStart w:id="149" w:name="_Toc14482"/>
      <w:bookmarkStart w:id="150" w:name="_Toc504565979"/>
      <w:bookmarkStart w:id="151" w:name="_Toc247527568"/>
      <w:bookmarkStart w:id="152" w:name="_Toc247513967"/>
      <w:r>
        <w:rPr>
          <w:rFonts w:hint="eastAsia" w:asciiTheme="minorEastAsia" w:hAnsiTheme="minorEastAsia" w:eastAsiaTheme="minorEastAsia" w:cstheme="minorEastAsia"/>
          <w:sz w:val="21"/>
          <w:szCs w:val="21"/>
        </w:rPr>
        <w:t>2.1 招标文件的组成</w:t>
      </w:r>
      <w:bookmarkEnd w:id="144"/>
      <w:bookmarkEnd w:id="145"/>
      <w:bookmarkEnd w:id="146"/>
      <w:bookmarkEnd w:id="147"/>
      <w:bookmarkEnd w:id="148"/>
      <w:bookmarkEnd w:id="149"/>
      <w:bookmarkEnd w:id="150"/>
      <w:bookmarkEnd w:id="151"/>
      <w:bookmarkEnd w:id="152"/>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本招标文件包括：</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（1）招标公告；</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（2）投标人须知；</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（3）评标办法；</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（4）合同条款及格式；</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（5）发包人要求；</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（6）投标文件格式。</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（7）招标人、招标代理机构、招投标监督管理部门对本招标文件的意见</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根据本章第1.10款、第2.2款和第2.3款对招标文件所作的澄清、修改，构成招标文件的组成部分。</w:t>
      </w:r>
    </w:p>
    <w:p>
      <w:pPr>
        <w:pStyle w:val="7"/>
        <w:spacing w:line="360" w:lineRule="auto"/>
        <w:ind w:left="0" w:firstLine="0"/>
        <w:rPr>
          <w:rFonts w:asciiTheme="minorEastAsia" w:hAnsiTheme="minorEastAsia" w:eastAsiaTheme="minorEastAsia" w:cstheme="minorEastAsia"/>
          <w:sz w:val="21"/>
          <w:szCs w:val="21"/>
        </w:rPr>
      </w:pPr>
      <w:bookmarkStart w:id="153" w:name="_Toc247513968"/>
      <w:bookmarkStart w:id="154" w:name="_Toc18714"/>
      <w:bookmarkStart w:id="155" w:name="_Toc16059"/>
      <w:bookmarkStart w:id="156" w:name="_Toc144974512"/>
      <w:bookmarkStart w:id="157" w:name="_Toc152042320"/>
      <w:bookmarkStart w:id="158" w:name="_Toc113958387"/>
      <w:bookmarkStart w:id="159" w:name="_Toc247527569"/>
      <w:bookmarkStart w:id="160" w:name="_Toc152045544"/>
      <w:bookmarkStart w:id="161" w:name="_Toc504565980"/>
      <w:r>
        <w:rPr>
          <w:rFonts w:hint="eastAsia" w:asciiTheme="minorEastAsia" w:hAnsiTheme="minorEastAsia" w:eastAsiaTheme="minorEastAsia" w:cstheme="minorEastAsia"/>
          <w:sz w:val="21"/>
          <w:szCs w:val="21"/>
        </w:rPr>
        <w:t>2.2 招标文件的澄清</w:t>
      </w:r>
      <w:bookmarkEnd w:id="153"/>
      <w:bookmarkEnd w:id="154"/>
      <w:bookmarkEnd w:id="155"/>
      <w:bookmarkEnd w:id="156"/>
      <w:bookmarkEnd w:id="157"/>
      <w:bookmarkEnd w:id="158"/>
      <w:bookmarkEnd w:id="159"/>
      <w:bookmarkEnd w:id="160"/>
      <w:bookmarkEnd w:id="161"/>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2.2.1 投标人应仔细阅读和检查招标文件的全部内容。如发现缺页或附件不全，应及时向招标人提出，以便补齐。如有疑问，</w:t>
      </w:r>
      <w:r>
        <w:rPr>
          <w:rFonts w:hint="eastAsia" w:asciiTheme="minorEastAsia" w:hAnsiTheme="minorEastAsia" w:eastAsiaTheme="minorEastAsia" w:cstheme="minorEastAsia"/>
          <w:b/>
          <w:sz w:val="21"/>
          <w:szCs w:val="21"/>
        </w:rPr>
        <w:t>应在投标人须知前附表规定的时间前以书面形式（包括信函、电报、传真等可以有形地表现所载内容的形式，下同），要求招标人对招标文件予以澄清。</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2.2.2 招标文件的澄清按投标人须知前附表规定时间及媒介发布，但不指明澄清问题的来源。澄清发出的时间距投标人须知前附表规定的投标截止时间不足15天的，并且澄清内容影响投标文件编制的，将相应延长投标截止时间。</w:t>
      </w:r>
    </w:p>
    <w:p>
      <w:pPr>
        <w:pStyle w:val="7"/>
        <w:spacing w:line="360" w:lineRule="auto"/>
        <w:ind w:left="0" w:firstLine="0"/>
        <w:rPr>
          <w:rFonts w:asciiTheme="minorEastAsia" w:hAnsiTheme="minorEastAsia" w:eastAsiaTheme="minorEastAsia" w:cstheme="minorEastAsia"/>
          <w:sz w:val="21"/>
          <w:szCs w:val="21"/>
        </w:rPr>
      </w:pPr>
      <w:bookmarkStart w:id="162" w:name="_Toc113958388"/>
      <w:bookmarkStart w:id="163" w:name="_Toc504565981"/>
      <w:bookmarkStart w:id="164" w:name="_Toc11642"/>
      <w:bookmarkStart w:id="165" w:name="_Toc247513969"/>
      <w:bookmarkStart w:id="166" w:name="_Toc247527570"/>
      <w:bookmarkStart w:id="167" w:name="_Toc152042321"/>
      <w:bookmarkStart w:id="168" w:name="_Toc152045545"/>
      <w:bookmarkStart w:id="169" w:name="_Toc28219"/>
      <w:bookmarkStart w:id="170" w:name="_Toc144974513"/>
      <w:r>
        <w:rPr>
          <w:rFonts w:hint="eastAsia" w:asciiTheme="minorEastAsia" w:hAnsiTheme="minorEastAsia" w:eastAsiaTheme="minorEastAsia" w:cstheme="minorEastAsia"/>
          <w:sz w:val="21"/>
          <w:szCs w:val="21"/>
        </w:rPr>
        <w:t>2.3 招标文件的修改</w:t>
      </w:r>
      <w:bookmarkEnd w:id="162"/>
      <w:bookmarkEnd w:id="163"/>
      <w:bookmarkEnd w:id="164"/>
      <w:bookmarkEnd w:id="165"/>
      <w:bookmarkEnd w:id="166"/>
      <w:bookmarkEnd w:id="167"/>
      <w:bookmarkEnd w:id="168"/>
      <w:bookmarkEnd w:id="169"/>
      <w:bookmarkEnd w:id="170"/>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2.3.1 招标人可以修改招标文件，并按投标人须知前附表规定时间及媒介发布。修改招标文件的时间距投标人须知前附表规定的投标截止时间不足15天的，并且澄清内容明显影响投标文件编制进度的，将相应延长投标截止时间。 </w:t>
      </w:r>
    </w:p>
    <w:p>
      <w:pPr>
        <w:pStyle w:val="6"/>
        <w:spacing w:line="360" w:lineRule="auto"/>
        <w:ind w:left="0" w:firstLine="0"/>
        <w:rPr>
          <w:rFonts w:asciiTheme="minorEastAsia" w:hAnsiTheme="minorEastAsia" w:eastAsiaTheme="minorEastAsia" w:cstheme="minorEastAsia"/>
          <w:b/>
          <w:bCs/>
          <w:sz w:val="21"/>
          <w:szCs w:val="21"/>
        </w:rPr>
      </w:pPr>
      <w:bookmarkStart w:id="171" w:name="_Toc113958389"/>
      <w:bookmarkStart w:id="172" w:name="_Toc24542"/>
      <w:r>
        <w:rPr>
          <w:rFonts w:hint="eastAsia" w:asciiTheme="minorEastAsia" w:hAnsiTheme="minorEastAsia" w:eastAsiaTheme="minorEastAsia" w:cstheme="minorEastAsia"/>
          <w:b/>
          <w:bCs/>
          <w:sz w:val="21"/>
          <w:szCs w:val="21"/>
        </w:rPr>
        <w:t>3. 投标文件</w:t>
      </w:r>
      <w:bookmarkEnd w:id="171"/>
      <w:bookmarkEnd w:id="172"/>
    </w:p>
    <w:p>
      <w:pPr>
        <w:pStyle w:val="7"/>
        <w:spacing w:line="360" w:lineRule="auto"/>
        <w:ind w:left="0" w:firstLine="0"/>
        <w:rPr>
          <w:rFonts w:asciiTheme="minorEastAsia" w:hAnsiTheme="minorEastAsia" w:eastAsiaTheme="minorEastAsia" w:cstheme="minorEastAsia"/>
          <w:sz w:val="21"/>
          <w:szCs w:val="21"/>
        </w:rPr>
      </w:pPr>
      <w:bookmarkStart w:id="173" w:name="_Toc113958390"/>
      <w:bookmarkStart w:id="174" w:name="_Toc1497"/>
      <w:r>
        <w:rPr>
          <w:rFonts w:hint="eastAsia" w:asciiTheme="minorEastAsia" w:hAnsiTheme="minorEastAsia" w:eastAsiaTheme="minorEastAsia" w:cstheme="minorEastAsia"/>
          <w:sz w:val="21"/>
          <w:szCs w:val="21"/>
        </w:rPr>
        <w:t>3.1 投标文件的组成（招标文件没有提供的格式由投标人自拟）</w:t>
      </w:r>
      <w:bookmarkEnd w:id="173"/>
      <w:bookmarkEnd w:id="174"/>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“资格标”投标文件应包括下列内容：</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法定代表人身份证明或附有法定代表人身份证明的授权委托书及“资格评审基本条件表”内全部内容。未按此要求编制或缺少内容的，视为不响应招标文件，按废标处理。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3.1.1 “技术和商务标”投标文件应包括下列内容：</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（1）投标函及投标函附录；</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（2）投标保证金；</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（3）“详细评审表”要求的其他内容；</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（4）投标人须知前附表规定的其他资料。 </w:t>
      </w:r>
    </w:p>
    <w:p>
      <w:pPr>
        <w:pStyle w:val="7"/>
        <w:spacing w:line="360" w:lineRule="auto"/>
        <w:ind w:left="0" w:firstLine="0"/>
        <w:rPr>
          <w:rFonts w:asciiTheme="minorEastAsia" w:hAnsiTheme="minorEastAsia" w:eastAsiaTheme="minorEastAsia" w:cstheme="minorEastAsia"/>
          <w:sz w:val="21"/>
          <w:szCs w:val="21"/>
        </w:rPr>
      </w:pPr>
      <w:bookmarkStart w:id="175" w:name="_Toc113958391"/>
      <w:bookmarkStart w:id="176" w:name="_Toc2404"/>
      <w:r>
        <w:rPr>
          <w:rFonts w:hint="eastAsia" w:asciiTheme="minorEastAsia" w:hAnsiTheme="minorEastAsia" w:eastAsiaTheme="minorEastAsia" w:cstheme="minorEastAsia"/>
          <w:sz w:val="21"/>
          <w:szCs w:val="21"/>
        </w:rPr>
        <w:t>3.2 投标报价</w:t>
      </w:r>
      <w:bookmarkEnd w:id="175"/>
      <w:bookmarkEnd w:id="176"/>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3.2.1 投标人应按第六章“投标文件格式”的要求填写价格清单。</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3.2.2 投标人应充分了解施工场地的位置、周边环境、道路、装卸、保管、安装限制以及影响投标报价的其他要素。投标人根据投标设计，结合市场情况进行投标报价。</w:t>
      </w:r>
    </w:p>
    <w:p>
      <w:pPr>
        <w:pStyle w:val="7"/>
        <w:spacing w:line="360" w:lineRule="auto"/>
        <w:ind w:left="0" w:firstLine="0"/>
        <w:rPr>
          <w:rFonts w:asciiTheme="minorEastAsia" w:hAnsiTheme="minorEastAsia" w:eastAsiaTheme="minorEastAsia" w:cstheme="minorEastAsia"/>
          <w:sz w:val="21"/>
          <w:szCs w:val="21"/>
        </w:rPr>
      </w:pPr>
      <w:bookmarkStart w:id="177" w:name="_Toc113958392"/>
      <w:bookmarkStart w:id="178" w:name="_Toc22398"/>
      <w:r>
        <w:rPr>
          <w:rFonts w:hint="eastAsia" w:asciiTheme="minorEastAsia" w:hAnsiTheme="minorEastAsia" w:eastAsiaTheme="minorEastAsia" w:cstheme="minorEastAsia"/>
          <w:sz w:val="21"/>
          <w:szCs w:val="21"/>
        </w:rPr>
        <w:t>3.3 投标有效期</w:t>
      </w:r>
      <w:bookmarkEnd w:id="177"/>
      <w:bookmarkEnd w:id="178"/>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3.3.1 在投标人须知前附表规定的投标有效期内，投标人不得要求撤销投标文件。 </w:t>
      </w:r>
    </w:p>
    <w:p>
      <w:pPr>
        <w:pStyle w:val="7"/>
        <w:spacing w:line="360" w:lineRule="auto"/>
        <w:ind w:left="0" w:firstLine="0"/>
        <w:rPr>
          <w:rFonts w:asciiTheme="minorEastAsia" w:hAnsiTheme="minorEastAsia" w:eastAsiaTheme="minorEastAsia" w:cstheme="minorEastAsia"/>
          <w:sz w:val="21"/>
          <w:szCs w:val="21"/>
        </w:rPr>
      </w:pPr>
      <w:bookmarkStart w:id="179" w:name="_Toc152045550"/>
      <w:bookmarkStart w:id="180" w:name="_Toc152042326"/>
      <w:bookmarkStart w:id="181" w:name="_Toc504565986"/>
      <w:bookmarkStart w:id="182" w:name="_Toc247513974"/>
      <w:bookmarkStart w:id="183" w:name="_Toc144974518"/>
      <w:bookmarkStart w:id="184" w:name="_Toc30577"/>
      <w:bookmarkStart w:id="185" w:name="_Toc113958393"/>
      <w:bookmarkStart w:id="186" w:name="_Toc247527575"/>
      <w:bookmarkStart w:id="187" w:name="_Toc19909"/>
      <w:r>
        <w:rPr>
          <w:rFonts w:hint="eastAsia" w:asciiTheme="minorEastAsia" w:hAnsiTheme="minorEastAsia" w:eastAsiaTheme="minorEastAsia" w:cstheme="minorEastAsia"/>
          <w:sz w:val="21"/>
          <w:szCs w:val="21"/>
        </w:rPr>
        <w:t>3.4 投标保证金</w:t>
      </w:r>
      <w:bookmarkEnd w:id="179"/>
      <w:bookmarkEnd w:id="180"/>
      <w:bookmarkEnd w:id="181"/>
      <w:bookmarkEnd w:id="182"/>
      <w:bookmarkEnd w:id="183"/>
      <w:bookmarkEnd w:id="184"/>
      <w:bookmarkEnd w:id="185"/>
      <w:bookmarkEnd w:id="186"/>
      <w:bookmarkEnd w:id="187"/>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3.4.1 投标人在递交投标文件的同时，应按投标人须知前附表规定的金额、担保形式和第七章“投标文件格式”规定的投标保证金格式递交投标保证金，并作为其投标文件的组成部分。联合体投标的，其投标保证金由投标人递交，并应符合投标人须知前附表的规定。</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3.4.2 投标人不按本章第3.4.1项要求提交投标保证金的，评标委员会将否决其投标。</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3.4.3 招标人与中标人签订合同后5日内，向未中标的投标人和中标人退还投标保证金。</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3.4.4 有下列情形之一的，投标保证金将不予退还： </w:t>
      </w:r>
    </w:p>
    <w:p>
      <w:pPr>
        <w:spacing w:line="360" w:lineRule="auto"/>
        <w:ind w:firstLine="315" w:firstLineChars="1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（1）投标人在规定的投标有效期内撤销或修改其投标文件；</w:t>
      </w:r>
    </w:p>
    <w:p>
      <w:pPr>
        <w:spacing w:line="360" w:lineRule="auto"/>
        <w:ind w:firstLine="315" w:firstLineChars="1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（2）中标人在收到中标通知书后，无正当理由拒签合同或未按招标文件规定提交履约担保。</w:t>
      </w:r>
    </w:p>
    <w:p>
      <w:pPr>
        <w:spacing w:line="360" w:lineRule="auto"/>
        <w:ind w:firstLine="315" w:firstLineChars="1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3.4.5投标保证金的退还均不计利息。 </w:t>
      </w:r>
    </w:p>
    <w:p>
      <w:pPr>
        <w:pStyle w:val="7"/>
        <w:spacing w:line="360" w:lineRule="auto"/>
        <w:ind w:left="0" w:firstLine="0"/>
        <w:rPr>
          <w:rFonts w:asciiTheme="minorEastAsia" w:hAnsiTheme="minorEastAsia" w:eastAsiaTheme="minorEastAsia" w:cstheme="minorEastAsia"/>
          <w:sz w:val="21"/>
          <w:szCs w:val="21"/>
        </w:rPr>
      </w:pPr>
      <w:bookmarkStart w:id="188" w:name="_Toc152042328"/>
      <w:bookmarkStart w:id="189" w:name="_Toc247513976"/>
      <w:bookmarkStart w:id="190" w:name="_Toc144974520"/>
      <w:bookmarkStart w:id="191" w:name="_Toc113958394"/>
      <w:bookmarkStart w:id="192" w:name="_Toc11382"/>
      <w:bookmarkStart w:id="193" w:name="_Toc152045552"/>
      <w:bookmarkStart w:id="194" w:name="_Toc31621"/>
      <w:bookmarkStart w:id="195" w:name="_Toc247527577"/>
      <w:bookmarkStart w:id="196" w:name="_Toc504565987"/>
      <w:r>
        <w:rPr>
          <w:rFonts w:hint="eastAsia" w:asciiTheme="minorEastAsia" w:hAnsiTheme="minorEastAsia" w:eastAsiaTheme="minorEastAsia" w:cstheme="minorEastAsia"/>
          <w:sz w:val="21"/>
          <w:szCs w:val="21"/>
        </w:rPr>
        <w:t>3.5 资格审查资料</w:t>
      </w:r>
      <w:bookmarkEnd w:id="188"/>
      <w:bookmarkEnd w:id="189"/>
      <w:bookmarkEnd w:id="190"/>
      <w:bookmarkEnd w:id="191"/>
      <w:bookmarkEnd w:id="192"/>
      <w:bookmarkEnd w:id="193"/>
      <w:bookmarkEnd w:id="194"/>
      <w:bookmarkEnd w:id="195"/>
      <w:bookmarkEnd w:id="196"/>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3.5.1 “投标人基本情况表”应附投标人营业执照副本及其年检合格的证明材料、资质证书副本和安全生产许可证等材料的复印件。</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3.5.2 “近年完成的类似项目情况表”应附中标通知书或合同协议书或竣工验收报告的复印件，具体年份要求见投标人须知前附表。每张表格只填写一个项目，并标明序号。</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3.5.3 “正在施工和新承接的项目情况表”应附中标通知书或合同协议书或竣工验收报告的复印件。每张表格只填写一个项目，并标明序号。</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投标人须知前附表规定接受联合体投标的，本章第3.5.1项至第3.5.</w:t>
      </w: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项规定的表格和资料应包括联合体各方相关情况。</w:t>
      </w:r>
    </w:p>
    <w:p>
      <w:pPr>
        <w:pStyle w:val="7"/>
        <w:spacing w:line="360" w:lineRule="auto"/>
        <w:ind w:left="0" w:firstLine="0"/>
        <w:rPr>
          <w:rFonts w:asciiTheme="minorEastAsia" w:hAnsiTheme="minorEastAsia" w:eastAsiaTheme="minorEastAsia" w:cstheme="minorEastAsia"/>
          <w:sz w:val="21"/>
          <w:szCs w:val="21"/>
        </w:rPr>
      </w:pPr>
      <w:bookmarkStart w:id="197" w:name="_Toc152045553"/>
      <w:bookmarkStart w:id="198" w:name="_Toc247527578"/>
      <w:bookmarkStart w:id="199" w:name="_Toc31602"/>
      <w:bookmarkStart w:id="200" w:name="_Toc247513977"/>
      <w:bookmarkStart w:id="201" w:name="_Toc504565988"/>
      <w:bookmarkStart w:id="202" w:name="_Toc113958395"/>
      <w:bookmarkStart w:id="203" w:name="_Toc550"/>
      <w:bookmarkStart w:id="204" w:name="_Toc144974521"/>
      <w:bookmarkStart w:id="205" w:name="_Toc152042329"/>
      <w:r>
        <w:rPr>
          <w:rFonts w:hint="eastAsia" w:asciiTheme="minorEastAsia" w:hAnsiTheme="minorEastAsia" w:eastAsiaTheme="minorEastAsia" w:cstheme="minorEastAsia"/>
          <w:sz w:val="21"/>
          <w:szCs w:val="21"/>
        </w:rPr>
        <w:t>3.6 备选投标方案</w:t>
      </w:r>
      <w:bookmarkEnd w:id="197"/>
      <w:bookmarkEnd w:id="198"/>
      <w:bookmarkEnd w:id="199"/>
      <w:bookmarkEnd w:id="200"/>
      <w:bookmarkEnd w:id="201"/>
      <w:bookmarkEnd w:id="202"/>
      <w:bookmarkEnd w:id="203"/>
      <w:bookmarkEnd w:id="204"/>
      <w:bookmarkEnd w:id="205"/>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除投标人须知前附表另有规定外，投标人</w:t>
      </w:r>
      <w:r>
        <w:rPr>
          <w:rFonts w:hint="eastAsia" w:asciiTheme="minorEastAsia" w:hAnsiTheme="minorEastAsia" w:eastAsiaTheme="minorEastAsia" w:cstheme="minorEastAsia"/>
          <w:b/>
          <w:sz w:val="21"/>
          <w:szCs w:val="21"/>
        </w:rPr>
        <w:t>不得</w:t>
      </w:r>
      <w:r>
        <w:rPr>
          <w:rFonts w:hint="eastAsia" w:asciiTheme="minorEastAsia" w:hAnsiTheme="minorEastAsia" w:eastAsiaTheme="minorEastAsia" w:cstheme="minorEastAsia"/>
          <w:sz w:val="21"/>
          <w:szCs w:val="21"/>
        </w:rPr>
        <w:t>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
        <w:spacing w:line="360" w:lineRule="auto"/>
        <w:ind w:left="0" w:firstLine="0"/>
        <w:rPr>
          <w:rFonts w:asciiTheme="minorEastAsia" w:hAnsiTheme="minorEastAsia" w:eastAsiaTheme="minorEastAsia" w:cstheme="minorEastAsia"/>
          <w:sz w:val="21"/>
          <w:szCs w:val="21"/>
        </w:rPr>
      </w:pPr>
      <w:bookmarkStart w:id="206" w:name="_Toc113958396"/>
      <w:bookmarkStart w:id="207" w:name="_Toc28512"/>
      <w:bookmarkStart w:id="208" w:name="_Toc504565989"/>
      <w:bookmarkStart w:id="209" w:name="_Toc11962"/>
      <w:bookmarkStart w:id="210" w:name="_Toc144974522"/>
      <w:bookmarkStart w:id="211" w:name="_Toc152042330"/>
      <w:bookmarkStart w:id="212" w:name="_Toc247527579"/>
      <w:bookmarkStart w:id="213" w:name="_Toc152045554"/>
      <w:bookmarkStart w:id="214" w:name="_Toc247513978"/>
      <w:r>
        <w:rPr>
          <w:rFonts w:hint="eastAsia" w:asciiTheme="minorEastAsia" w:hAnsiTheme="minorEastAsia" w:eastAsiaTheme="minorEastAsia" w:cstheme="minorEastAsia"/>
          <w:sz w:val="21"/>
          <w:szCs w:val="21"/>
        </w:rPr>
        <w:t>3.7 投标文件的编制</w:t>
      </w:r>
      <w:bookmarkEnd w:id="206"/>
      <w:bookmarkEnd w:id="207"/>
      <w:bookmarkEnd w:id="208"/>
      <w:bookmarkEnd w:id="209"/>
      <w:bookmarkEnd w:id="210"/>
      <w:bookmarkEnd w:id="211"/>
      <w:bookmarkEnd w:id="212"/>
      <w:bookmarkEnd w:id="213"/>
      <w:bookmarkEnd w:id="214"/>
    </w:p>
    <w:p>
      <w:pPr>
        <w:adjustRightInd w:val="0"/>
        <w:spacing w:line="360" w:lineRule="auto"/>
        <w:ind w:firstLine="420" w:firstLineChars="200"/>
        <w:rPr>
          <w:rFonts w:asciiTheme="minorEastAsia" w:hAnsiTheme="minorEastAsia" w:eastAsiaTheme="minorEastAsia" w:cstheme="minorEastAsia"/>
          <w:sz w:val="21"/>
          <w:szCs w:val="21"/>
        </w:rPr>
      </w:pPr>
      <w:bookmarkStart w:id="215" w:name="_Toc247527580"/>
      <w:bookmarkStart w:id="216" w:name="_Toc144974523"/>
      <w:bookmarkStart w:id="217" w:name="_Toc152042331"/>
      <w:bookmarkStart w:id="218" w:name="_Toc504565990"/>
      <w:bookmarkStart w:id="219" w:name="_Toc152045555"/>
      <w:bookmarkStart w:id="220" w:name="_Toc247513979"/>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.1 投标文件应按第六章“投标文件格式”进行编写，如有必要，可以增加附页，作为投标文件的组成部分，格式内容仅作为参考，投标人可根据招标文件要求自行编制其他能体现投标人实力的技术或商务内容。其中，投标函附录在满足招标文件实质性要求的基础上，可以提出比招标文件要求更有利于招标人的承诺。</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.2 投标文件应当对招标文件有关工期、投标有效期、质量要求、技术的要求、招标范围等实质性内容作出响应。</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3投标文件由投标人的法定代表人或其委托代理人签名或盖单位章。委托代理人签名的投标文件应附法定代表人签署的授权委托书。投标文件应尽量避免涂改、行间插字或删除。如果出现上述情况，改动之处应加盖单位章或由投标人的法定代表人或其授权的代理人签名确认。签名或盖章的具体要求见投标人须知前附表。投标文件格式中要求法定代表人签字的必须由法定代表人亲自签署。</w:t>
      </w:r>
    </w:p>
    <w:p>
      <w:pPr>
        <w:pStyle w:val="6"/>
        <w:spacing w:line="360" w:lineRule="auto"/>
        <w:ind w:left="0" w:firstLine="0"/>
        <w:rPr>
          <w:rFonts w:asciiTheme="minorEastAsia" w:hAnsiTheme="minorEastAsia" w:eastAsiaTheme="minorEastAsia" w:cstheme="minorEastAsia"/>
          <w:sz w:val="21"/>
          <w:szCs w:val="21"/>
        </w:rPr>
      </w:pPr>
      <w:bookmarkStart w:id="221" w:name="_Toc12258"/>
      <w:bookmarkStart w:id="222" w:name="_Toc113958397"/>
      <w:bookmarkStart w:id="223" w:name="_Toc22339"/>
      <w:r>
        <w:rPr>
          <w:rFonts w:hint="eastAsia" w:asciiTheme="minorEastAsia" w:hAnsiTheme="minorEastAsia" w:eastAsiaTheme="minorEastAsia" w:cstheme="minorEastAsia"/>
          <w:b/>
          <w:bCs/>
          <w:sz w:val="21"/>
          <w:szCs w:val="21"/>
        </w:rPr>
        <w:t>4. 投标</w:t>
      </w:r>
      <w:bookmarkEnd w:id="215"/>
      <w:bookmarkEnd w:id="216"/>
      <w:bookmarkEnd w:id="217"/>
      <w:bookmarkEnd w:id="218"/>
      <w:bookmarkEnd w:id="219"/>
      <w:bookmarkEnd w:id="220"/>
      <w:bookmarkEnd w:id="221"/>
      <w:bookmarkEnd w:id="222"/>
      <w:bookmarkEnd w:id="223"/>
    </w:p>
    <w:p>
      <w:pPr>
        <w:pStyle w:val="7"/>
        <w:spacing w:line="360" w:lineRule="auto"/>
        <w:ind w:left="0" w:firstLine="0"/>
        <w:rPr>
          <w:rFonts w:asciiTheme="minorEastAsia" w:hAnsiTheme="minorEastAsia" w:eastAsiaTheme="minorEastAsia" w:cstheme="minorEastAsia"/>
          <w:sz w:val="21"/>
          <w:szCs w:val="21"/>
        </w:rPr>
      </w:pPr>
      <w:bookmarkStart w:id="224" w:name="_Toc113958398"/>
      <w:bookmarkStart w:id="225" w:name="_Toc29483"/>
      <w:bookmarkStart w:id="226" w:name="_Toc504565994"/>
      <w:bookmarkStart w:id="227" w:name="_Toc152045559"/>
      <w:bookmarkStart w:id="228" w:name="_Toc152042335"/>
      <w:bookmarkStart w:id="229" w:name="_Toc247513983"/>
      <w:bookmarkStart w:id="230" w:name="_Toc144974527"/>
      <w:bookmarkStart w:id="231" w:name="_Toc247527584"/>
      <w:r>
        <w:rPr>
          <w:rFonts w:hint="eastAsia" w:asciiTheme="minorEastAsia" w:hAnsiTheme="minorEastAsia" w:eastAsiaTheme="minorEastAsia" w:cstheme="minorEastAsia"/>
          <w:sz w:val="21"/>
          <w:szCs w:val="21"/>
        </w:rPr>
        <w:t>4.1</w:t>
      </w:r>
      <w:r>
        <w:rPr>
          <w:rFonts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投标文件的递交</w:t>
      </w:r>
      <w:bookmarkEnd w:id="224"/>
      <w:bookmarkEnd w:id="225"/>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4.1.1投标人递交投标文件的时间、地点：见投标人须知前附表。</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4.1.2投标人应在投标截止时间之前， 从网上招投标系统递交加密后的电子投标文件。未在投标截止时间前通过网上招投标系统递交有效电子投标文件的，开评标系统不予接收，视为未递交投标文件。</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4.1.3投标人应在投标截止时间起 30 分钟内，通过互联网解密投标文件，超过 30 分钟未解密的投标文件，将被退回，不进入评标程序。（以交易系统时间为准）。</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4.1.4各投标单位须在淮北市公共资源交易中心网站进行项目投标获取并下载相关资料。如未在淮北市公共资源交易中心网站下载招标文件及其它相关资料，其投标资料将被拒收。</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4.1.5招标人可按本须知前附表第 16 条款规定以澄清、修改、补充的方式，酌情延长提交投标文件的截止时间。 在此情况下， 投标人的所有权利和义务以及投标人受制约的截止时间，均以延长后新的投标截止时间为准。</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4.1.6 投标人提供的以上材料须真实可靠，如有弄虚作假，一经发现查实，投标保证金不予退还，取消投（中）标资格，并在省、市相关网站上公示。</w:t>
      </w:r>
    </w:p>
    <w:bookmarkEnd w:id="226"/>
    <w:bookmarkEnd w:id="227"/>
    <w:bookmarkEnd w:id="228"/>
    <w:bookmarkEnd w:id="229"/>
    <w:bookmarkEnd w:id="230"/>
    <w:bookmarkEnd w:id="231"/>
    <w:p>
      <w:pPr>
        <w:adjustRightIn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5. 开标</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5.1招标人按本须知前附表所规定的时间和地点公开开标。</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5.2投标人在投标截止时间后规定时间内 （见前附表规定,以网上招投标系统解密倒</w:t>
      </w:r>
    </w:p>
    <w:p>
      <w:pPr>
        <w:adjustRightInd w:val="0"/>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计时为准）完成投标文件的解密工作；</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5.3投标文件的有效性：</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5.3.1未在投标截止时间前通过网上招投标系统递交有效电子投标文件的， 开评标系统不予接收，视为未递交投标文件。</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5.3.2开标过程中发现有下列情况的，属于重大偏差，由评委会按无效标处理：</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5.3.2.1未按规定格式提供、填写及签字盖章的；</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5.3.2.2投标报价费率高于最高限价费率的；</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5.3.2.3法律、法规及招标文件规定的其它情形。</w:t>
      </w:r>
    </w:p>
    <w:p>
      <w:pPr>
        <w:pStyle w:val="6"/>
        <w:spacing w:line="360" w:lineRule="auto"/>
        <w:ind w:left="0" w:firstLine="0"/>
        <w:rPr>
          <w:rFonts w:asciiTheme="minorEastAsia" w:hAnsiTheme="minorEastAsia" w:eastAsiaTheme="minorEastAsia" w:cstheme="minorEastAsia"/>
          <w:b/>
          <w:bCs/>
          <w:sz w:val="21"/>
          <w:szCs w:val="21"/>
        </w:rPr>
      </w:pPr>
      <w:bookmarkStart w:id="232" w:name="_Toc19922"/>
      <w:bookmarkStart w:id="233" w:name="_Toc113958399"/>
      <w:bookmarkStart w:id="234" w:name="_Toc498286116"/>
      <w:bookmarkStart w:id="235" w:name="_Toc27981"/>
      <w:bookmarkStart w:id="236" w:name="_Toc282823831"/>
      <w:r>
        <w:rPr>
          <w:rFonts w:hint="eastAsia" w:asciiTheme="minorEastAsia" w:hAnsiTheme="minorEastAsia" w:eastAsiaTheme="minorEastAsia" w:cstheme="minorEastAsia"/>
          <w:b/>
          <w:bCs/>
          <w:sz w:val="21"/>
          <w:szCs w:val="21"/>
        </w:rPr>
        <w:t>6. 评标</w:t>
      </w:r>
      <w:bookmarkEnd w:id="232"/>
      <w:bookmarkEnd w:id="233"/>
      <w:bookmarkEnd w:id="234"/>
      <w:bookmarkEnd w:id="235"/>
      <w:bookmarkEnd w:id="236"/>
    </w:p>
    <w:p>
      <w:pPr>
        <w:pStyle w:val="7"/>
        <w:spacing w:line="360" w:lineRule="auto"/>
        <w:ind w:left="0" w:firstLine="0"/>
        <w:rPr>
          <w:rFonts w:asciiTheme="minorEastAsia" w:hAnsiTheme="minorEastAsia" w:eastAsiaTheme="minorEastAsia" w:cstheme="minorEastAsia"/>
          <w:sz w:val="21"/>
          <w:szCs w:val="21"/>
        </w:rPr>
      </w:pPr>
      <w:bookmarkStart w:id="237" w:name="_Toc113958400"/>
      <w:bookmarkStart w:id="238" w:name="_Toc30603"/>
      <w:r>
        <w:rPr>
          <w:rFonts w:hint="eastAsia" w:asciiTheme="minorEastAsia" w:hAnsiTheme="minorEastAsia" w:eastAsiaTheme="minorEastAsia" w:cstheme="minorEastAsia"/>
          <w:sz w:val="21"/>
          <w:szCs w:val="21"/>
        </w:rPr>
        <w:t>6.1 评标委员会</w:t>
      </w:r>
      <w:bookmarkEnd w:id="237"/>
      <w:bookmarkEnd w:id="238"/>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6.1.1 评标由招标人依法组建的评标委员会负责。评标委员会成员人数以及技术、经济等方面专家的确定方式见投标人须知前附表。</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6.1.2 评标委员会成员有下列情形之一的，应当回避：</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（1）招标人或投标人的主要负责人的近亲属；</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（2）项目主管部门或者招标监督部门的人员；</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（3）与投标人有经济利益关系，可能影响对投标公正评审的；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（4）曾因在招标、评标以及其他与招标投标有关活动中从事违法行为而受过行政处罚或刑事处罚的。</w:t>
      </w:r>
    </w:p>
    <w:p>
      <w:pPr>
        <w:pStyle w:val="7"/>
        <w:spacing w:line="360" w:lineRule="auto"/>
        <w:ind w:left="0" w:firstLine="0"/>
        <w:rPr>
          <w:rFonts w:asciiTheme="minorEastAsia" w:hAnsiTheme="minorEastAsia" w:eastAsiaTheme="minorEastAsia" w:cstheme="minorEastAsia"/>
          <w:sz w:val="21"/>
          <w:szCs w:val="21"/>
        </w:rPr>
      </w:pPr>
      <w:bookmarkStart w:id="239" w:name="_Toc6080"/>
      <w:bookmarkStart w:id="240" w:name="_Toc113958401"/>
      <w:r>
        <w:rPr>
          <w:rFonts w:hint="eastAsia" w:asciiTheme="minorEastAsia" w:hAnsiTheme="minorEastAsia" w:eastAsiaTheme="minorEastAsia" w:cstheme="minorEastAsia"/>
          <w:sz w:val="21"/>
          <w:szCs w:val="21"/>
        </w:rPr>
        <w:t>6.2 评标原则</w:t>
      </w:r>
      <w:bookmarkEnd w:id="239"/>
      <w:bookmarkEnd w:id="240"/>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评标活动遵循公平、公正、科学和择优的原则。</w:t>
      </w:r>
    </w:p>
    <w:p>
      <w:pPr>
        <w:pStyle w:val="7"/>
        <w:spacing w:line="360" w:lineRule="auto"/>
        <w:ind w:left="0" w:firstLine="0"/>
        <w:rPr>
          <w:rFonts w:asciiTheme="minorEastAsia" w:hAnsiTheme="minorEastAsia" w:eastAsiaTheme="minorEastAsia" w:cstheme="minorEastAsia"/>
          <w:sz w:val="21"/>
          <w:szCs w:val="21"/>
        </w:rPr>
      </w:pPr>
      <w:bookmarkStart w:id="241" w:name="_Toc16304"/>
      <w:bookmarkStart w:id="242" w:name="_Toc113958402"/>
      <w:r>
        <w:rPr>
          <w:rFonts w:hint="eastAsia" w:asciiTheme="minorEastAsia" w:hAnsiTheme="minorEastAsia" w:eastAsiaTheme="minorEastAsia" w:cstheme="minorEastAsia"/>
          <w:sz w:val="21"/>
          <w:szCs w:val="21"/>
        </w:rPr>
        <w:t>6.3 评标</w:t>
      </w:r>
      <w:bookmarkEnd w:id="241"/>
      <w:bookmarkEnd w:id="242"/>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评标委员会按照第三章“评标办法”规定的方法、评审因素、标准和程序对投标文件进行评审。第三章“评标办法”没有规定的方法、评审因素和标准，不作为评标依据。</w:t>
      </w:r>
    </w:p>
    <w:p>
      <w:pPr>
        <w:pStyle w:val="7"/>
        <w:spacing w:line="360" w:lineRule="auto"/>
        <w:ind w:left="0" w:firstLine="0"/>
        <w:rPr>
          <w:rFonts w:asciiTheme="minorEastAsia" w:hAnsiTheme="minorEastAsia" w:eastAsiaTheme="minorEastAsia" w:cstheme="minorEastAsia"/>
          <w:sz w:val="21"/>
          <w:szCs w:val="21"/>
        </w:rPr>
      </w:pPr>
      <w:bookmarkStart w:id="243" w:name="_Toc113958403"/>
      <w:bookmarkStart w:id="244" w:name="_Toc19493"/>
      <w:r>
        <w:rPr>
          <w:rFonts w:hint="eastAsia" w:asciiTheme="minorEastAsia" w:hAnsiTheme="minorEastAsia" w:eastAsiaTheme="minorEastAsia" w:cstheme="minorEastAsia"/>
          <w:sz w:val="21"/>
          <w:szCs w:val="21"/>
        </w:rPr>
        <w:t>6.4 无效投标条件</w:t>
      </w:r>
      <w:bookmarkEnd w:id="243"/>
      <w:bookmarkEnd w:id="244"/>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6.4.1投标人或其投标文件有下列情形之一的，其投标作无效投标处理：</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（1）有串通投标或弄虚作假或有其他违法行为的；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（2）不按评标委员会要求澄清、说明的；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（3）在评审中，评标委员会认定投标人的投标文件不符合评标办法前附表中规定的任何一项评审标准的；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（4）在设计内容和实施方案评审中，评标委员会认定投标人的投标未能通过此项评审的；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（5）评标委员会认定投标人以低于成本报价竞标的；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（6）招标人规定的其他无效投标条件的。</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6.4.2在评标委员会评审过程中，发现有下列情形之一的，可视为串通投标，做废标处理，并提请招投标监管部门依法查处：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（1）不同投标人的投标文件由同一单位或者个人编制；</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（2）不同投标人委托同一单位或者个人办理投标事宜；</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（3）不同投标人的投标文件载明的项目管理成员为同一人；</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（4）不同投标人的投标文件异常一致或者投标报价呈规律性差异；</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（5）不同投标人的投标文件相互混装的；</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（6）不同投标人的投标保证金从同一单位或者个人的账户转出；</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（7）不同投标人用同一台电脑报名的（IP地址相同），或不同投标人的投标文件用同一台电脑编制（同一台附属设备打印）；</w:t>
      </w:r>
    </w:p>
    <w:p>
      <w:pPr>
        <w:adjustRightInd w:val="0"/>
        <w:spacing w:line="360" w:lineRule="auto"/>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（8）其他串通投标行为；</w:t>
      </w:r>
    </w:p>
    <w:p>
      <w:pPr>
        <w:pStyle w:val="6"/>
        <w:spacing w:line="360" w:lineRule="auto"/>
        <w:ind w:left="0" w:firstLine="0"/>
        <w:rPr>
          <w:rFonts w:asciiTheme="minorEastAsia" w:hAnsiTheme="minorEastAsia" w:eastAsiaTheme="minorEastAsia" w:cstheme="minorEastAsia"/>
          <w:b/>
          <w:bCs/>
          <w:sz w:val="21"/>
          <w:szCs w:val="21"/>
        </w:rPr>
      </w:pPr>
      <w:bookmarkStart w:id="245" w:name="_Toc282823832"/>
      <w:bookmarkStart w:id="246" w:name="_Toc27890"/>
      <w:bookmarkStart w:id="247" w:name="_Toc44"/>
      <w:bookmarkStart w:id="248" w:name="_Toc113958404"/>
      <w:bookmarkStart w:id="249" w:name="_Toc498286117"/>
      <w:r>
        <w:rPr>
          <w:rFonts w:hint="eastAsia" w:asciiTheme="minorEastAsia" w:hAnsiTheme="minorEastAsia" w:eastAsiaTheme="minorEastAsia" w:cstheme="minorEastAsia"/>
          <w:b/>
          <w:bCs/>
          <w:sz w:val="21"/>
          <w:szCs w:val="21"/>
        </w:rPr>
        <w:t>7. 合同授予</w:t>
      </w:r>
      <w:bookmarkEnd w:id="245"/>
      <w:bookmarkEnd w:id="246"/>
      <w:bookmarkEnd w:id="247"/>
      <w:bookmarkEnd w:id="248"/>
      <w:bookmarkEnd w:id="249"/>
    </w:p>
    <w:p>
      <w:pPr>
        <w:pStyle w:val="7"/>
        <w:spacing w:line="360" w:lineRule="auto"/>
        <w:ind w:left="0" w:firstLine="0"/>
        <w:rPr>
          <w:rFonts w:asciiTheme="minorEastAsia" w:hAnsiTheme="minorEastAsia" w:eastAsiaTheme="minorEastAsia" w:cstheme="minorEastAsia"/>
          <w:sz w:val="21"/>
          <w:szCs w:val="21"/>
        </w:rPr>
      </w:pPr>
      <w:bookmarkStart w:id="250" w:name="_Toc25944"/>
      <w:bookmarkStart w:id="251" w:name="_Toc113958405"/>
      <w:r>
        <w:rPr>
          <w:rFonts w:hint="eastAsia" w:asciiTheme="minorEastAsia" w:hAnsiTheme="minorEastAsia" w:eastAsiaTheme="minorEastAsia" w:cstheme="minorEastAsia"/>
          <w:sz w:val="21"/>
          <w:szCs w:val="21"/>
        </w:rPr>
        <w:t>7.1 定标方式</w:t>
      </w:r>
      <w:bookmarkEnd w:id="250"/>
      <w:bookmarkEnd w:id="251"/>
    </w:p>
    <w:p>
      <w:pPr>
        <w:adjustRightInd w:val="0"/>
        <w:spacing w:line="360" w:lineRule="auto"/>
        <w:ind w:firstLine="420" w:firstLineChars="200"/>
        <w:rPr>
          <w:rFonts w:asciiTheme="minorEastAsia" w:hAnsiTheme="minorEastAsia" w:eastAsiaTheme="minorEastAsia" w:cstheme="minorEastAsia"/>
          <w:sz w:val="21"/>
          <w:szCs w:val="21"/>
        </w:rPr>
      </w:pPr>
      <w:bookmarkStart w:id="252" w:name="_Toc498286118"/>
      <w:bookmarkStart w:id="253" w:name="_Toc5801"/>
      <w:bookmarkStart w:id="254" w:name="_Toc282823833"/>
      <w:r>
        <w:rPr>
          <w:rFonts w:hint="eastAsia" w:asciiTheme="minorEastAsia" w:hAnsiTheme="minorEastAsia" w:eastAsiaTheme="minorEastAsia" w:cstheme="minorEastAsia"/>
          <w:sz w:val="21"/>
          <w:szCs w:val="21"/>
        </w:rPr>
        <w:t>根据招标文件规定定标 。</w:t>
      </w:r>
    </w:p>
    <w:p>
      <w:pPr>
        <w:pStyle w:val="7"/>
        <w:spacing w:line="360" w:lineRule="auto"/>
        <w:ind w:left="0" w:firstLine="0"/>
        <w:rPr>
          <w:rFonts w:asciiTheme="minorEastAsia" w:hAnsiTheme="minorEastAsia" w:eastAsiaTheme="minorEastAsia" w:cstheme="minorEastAsia"/>
          <w:sz w:val="21"/>
          <w:szCs w:val="21"/>
        </w:rPr>
      </w:pPr>
      <w:bookmarkStart w:id="255" w:name="_Toc18876"/>
      <w:bookmarkStart w:id="256" w:name="_Toc113958406"/>
      <w:r>
        <w:rPr>
          <w:rFonts w:hint="eastAsia" w:asciiTheme="minorEastAsia" w:hAnsiTheme="minorEastAsia" w:eastAsiaTheme="minorEastAsia" w:cstheme="minorEastAsia"/>
          <w:sz w:val="21"/>
          <w:szCs w:val="21"/>
        </w:rPr>
        <w:t>7.2 中标通知</w:t>
      </w:r>
      <w:bookmarkEnd w:id="255"/>
      <w:bookmarkEnd w:id="256"/>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在本章第 3.3.1 款规定的投标有效期内，招标人以书面形式向中标人发出中标通知书，同时将中标结果通知未中标的投标人。中标人领取中标通知书前，须向招标代理机构缴纳招标代理服务费和施工图预算编制费用。</w:t>
      </w:r>
    </w:p>
    <w:p>
      <w:pPr>
        <w:pStyle w:val="7"/>
        <w:spacing w:line="360" w:lineRule="auto"/>
        <w:ind w:left="0" w:firstLine="0"/>
        <w:rPr>
          <w:rFonts w:asciiTheme="minorEastAsia" w:hAnsiTheme="minorEastAsia" w:eastAsiaTheme="minorEastAsia" w:cstheme="minorEastAsia"/>
          <w:sz w:val="21"/>
          <w:szCs w:val="21"/>
        </w:rPr>
      </w:pPr>
      <w:bookmarkStart w:id="257" w:name="_Toc22980"/>
      <w:bookmarkStart w:id="258" w:name="_Toc113958407"/>
      <w:r>
        <w:rPr>
          <w:rFonts w:hint="eastAsia" w:asciiTheme="minorEastAsia" w:hAnsiTheme="minorEastAsia" w:eastAsiaTheme="minorEastAsia" w:cstheme="minorEastAsia"/>
          <w:sz w:val="21"/>
          <w:szCs w:val="21"/>
        </w:rPr>
        <w:t>7.3 履约担保</w:t>
      </w:r>
      <w:bookmarkEnd w:id="257"/>
      <w:bookmarkEnd w:id="258"/>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7.3.1 在签订合同前，中标人应按投标人须知前附表规定的金额、担保形式和招标文件第四章“合同条款及格式”规定的履约担保格式向招标人提交履约担保。</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7.3.2 中标人不能按本章第7.3.1 项要求提交履约担保的，视为放弃中标，其投标保证金不予退还，给招标人造成的损失超过投标保证金数额的，中标人还应当对超过部分予以赔偿。</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7.3.3履约保证金的退还：</w:t>
      </w:r>
      <w:r>
        <w:rPr>
          <w:rFonts w:hint="eastAsia" w:asciiTheme="minorEastAsia" w:hAnsiTheme="minorEastAsia" w:eastAsiaTheme="minorEastAsia" w:cstheme="minorEastAsia"/>
          <w:b/>
          <w:bCs/>
          <w:sz w:val="21"/>
          <w:szCs w:val="21"/>
        </w:rPr>
        <w:t>采用转账缴纳履约保证金的，在工程竣工验收合格后全额退还（无息），履约保证金退还时均退还至中标单位基本帐户；2、采用履约保函的，工程竣工验收合格后，退还履约保函。</w:t>
      </w:r>
    </w:p>
    <w:p>
      <w:pPr>
        <w:pStyle w:val="7"/>
        <w:spacing w:line="360" w:lineRule="auto"/>
        <w:ind w:left="0" w:firstLine="0"/>
        <w:rPr>
          <w:rFonts w:asciiTheme="minorEastAsia" w:hAnsiTheme="minorEastAsia" w:eastAsiaTheme="minorEastAsia" w:cstheme="minorEastAsia"/>
          <w:sz w:val="21"/>
          <w:szCs w:val="21"/>
        </w:rPr>
      </w:pPr>
      <w:bookmarkStart w:id="259" w:name="_Toc18241"/>
      <w:bookmarkStart w:id="260" w:name="_Toc113958408"/>
      <w:r>
        <w:rPr>
          <w:rFonts w:hint="eastAsia" w:asciiTheme="minorEastAsia" w:hAnsiTheme="minorEastAsia" w:eastAsiaTheme="minorEastAsia" w:cstheme="minorEastAsia"/>
          <w:sz w:val="21"/>
          <w:szCs w:val="21"/>
        </w:rPr>
        <w:t>7.4</w:t>
      </w:r>
      <w:r>
        <w:rPr>
          <w:rFonts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知识产权</w:t>
      </w:r>
      <w:bookmarkEnd w:id="259"/>
      <w:bookmarkEnd w:id="260"/>
      <w:r>
        <w:rPr>
          <w:rFonts w:hint="eastAsia" w:asciiTheme="minorEastAsia" w:hAnsiTheme="minorEastAsia" w:eastAsiaTheme="minorEastAsia" w:cstheme="minorEastAsia"/>
          <w:sz w:val="21"/>
          <w:szCs w:val="21"/>
        </w:rPr>
        <w:t xml:space="preserve">   </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7.4.1 投标方应保证，免除第三方对招标方提出侵犯专利权、商标权或其它知识产权的索赔或起诉。</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7.4.2 投标价应包括所有应支付的对专利权、非专利技术、版权、设计或其他知识产权而需要向其他方支付的版税和费用。</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 签订合同</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7.5.1 招标人和中标人应当自中标通知书发出之日起</w:t>
      </w:r>
      <w:r>
        <w:rPr>
          <w:rFonts w:hint="eastAsia" w:asciiTheme="minorEastAsia" w:hAnsiTheme="minorEastAsia" w:eastAsiaTheme="minorEastAsia" w:cstheme="minorEastAsia"/>
          <w:sz w:val="21"/>
          <w:szCs w:val="21"/>
          <w:lang w:val="en-US"/>
        </w:rPr>
        <w:t>30</w:t>
      </w:r>
      <w:r>
        <w:rPr>
          <w:rFonts w:hint="eastAsia" w:asciiTheme="minorEastAsia" w:hAnsiTheme="minorEastAsia" w:eastAsiaTheme="minorEastAsia" w:cstheme="minorEastAsia"/>
          <w:sz w:val="21"/>
          <w:szCs w:val="21"/>
        </w:rPr>
        <w:t>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7.5.2 发出中标通知书后，招标人无正当理由拒签合同的，招标人向中标人退还投标保证金，还应当赔偿损失。</w:t>
      </w:r>
    </w:p>
    <w:p>
      <w:pPr>
        <w:pStyle w:val="6"/>
        <w:spacing w:line="360" w:lineRule="auto"/>
        <w:ind w:left="0" w:firstLine="0"/>
        <w:rPr>
          <w:rFonts w:asciiTheme="minorEastAsia" w:hAnsiTheme="minorEastAsia" w:eastAsiaTheme="minorEastAsia" w:cstheme="minorEastAsia"/>
          <w:b/>
          <w:bCs/>
          <w:sz w:val="21"/>
          <w:szCs w:val="21"/>
        </w:rPr>
      </w:pPr>
      <w:bookmarkStart w:id="261" w:name="_Toc113958409"/>
      <w:bookmarkStart w:id="262" w:name="_Toc26235"/>
      <w:r>
        <w:rPr>
          <w:rFonts w:hint="eastAsia" w:asciiTheme="minorEastAsia" w:hAnsiTheme="minorEastAsia" w:eastAsiaTheme="minorEastAsia" w:cstheme="minorEastAsia"/>
          <w:b/>
          <w:bCs/>
          <w:sz w:val="21"/>
          <w:szCs w:val="21"/>
        </w:rPr>
        <w:t>8. 重新招标</w:t>
      </w:r>
      <w:bookmarkEnd w:id="252"/>
      <w:bookmarkEnd w:id="253"/>
      <w:bookmarkEnd w:id="254"/>
      <w:bookmarkEnd w:id="261"/>
      <w:bookmarkEnd w:id="262"/>
    </w:p>
    <w:p>
      <w:pPr>
        <w:pStyle w:val="7"/>
        <w:spacing w:line="360" w:lineRule="auto"/>
        <w:ind w:left="0" w:firstLine="0"/>
        <w:rPr>
          <w:rFonts w:asciiTheme="minorEastAsia" w:hAnsiTheme="minorEastAsia" w:eastAsiaTheme="minorEastAsia" w:cstheme="minorEastAsia"/>
          <w:sz w:val="21"/>
          <w:szCs w:val="21"/>
        </w:rPr>
      </w:pPr>
      <w:bookmarkStart w:id="263" w:name="_Toc20588"/>
      <w:bookmarkStart w:id="264" w:name="_Toc113958410"/>
      <w:r>
        <w:rPr>
          <w:rFonts w:hint="eastAsia" w:asciiTheme="minorEastAsia" w:hAnsiTheme="minorEastAsia" w:eastAsiaTheme="minorEastAsia" w:cstheme="minorEastAsia"/>
          <w:sz w:val="21"/>
          <w:szCs w:val="21"/>
        </w:rPr>
        <w:t>8.1 重新招标</w:t>
      </w:r>
      <w:bookmarkEnd w:id="263"/>
      <w:bookmarkEnd w:id="264"/>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有下列情形之一的，招标人将重新招标：</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（1）投标截止时间止，投标人少于3个的；</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（2）经评标委员会评审后否决所有投标的。</w:t>
      </w:r>
    </w:p>
    <w:p>
      <w:pPr>
        <w:pStyle w:val="6"/>
        <w:spacing w:line="360" w:lineRule="auto"/>
        <w:ind w:left="0" w:firstLine="0"/>
        <w:rPr>
          <w:rFonts w:asciiTheme="minorEastAsia" w:hAnsiTheme="minorEastAsia" w:eastAsiaTheme="minorEastAsia" w:cstheme="minorEastAsia"/>
          <w:b/>
          <w:bCs/>
          <w:sz w:val="21"/>
          <w:szCs w:val="21"/>
        </w:rPr>
      </w:pPr>
      <w:bookmarkStart w:id="265" w:name="_Toc498286119"/>
      <w:bookmarkStart w:id="266" w:name="_Toc113958411"/>
      <w:bookmarkStart w:id="267" w:name="_Toc32682"/>
      <w:bookmarkStart w:id="268" w:name="_Toc5565"/>
      <w:bookmarkStart w:id="269" w:name="_Toc282823834"/>
      <w:r>
        <w:rPr>
          <w:rFonts w:hint="eastAsia" w:asciiTheme="minorEastAsia" w:hAnsiTheme="minorEastAsia" w:eastAsiaTheme="minorEastAsia" w:cstheme="minorEastAsia"/>
          <w:b/>
          <w:bCs/>
          <w:sz w:val="21"/>
          <w:szCs w:val="21"/>
        </w:rPr>
        <w:t>9. 纪律和监督</w:t>
      </w:r>
      <w:bookmarkEnd w:id="265"/>
      <w:bookmarkEnd w:id="266"/>
      <w:bookmarkEnd w:id="267"/>
      <w:bookmarkEnd w:id="268"/>
      <w:bookmarkEnd w:id="269"/>
    </w:p>
    <w:p>
      <w:pPr>
        <w:pStyle w:val="7"/>
        <w:spacing w:line="360" w:lineRule="auto"/>
        <w:ind w:left="0" w:firstLine="0"/>
        <w:rPr>
          <w:rFonts w:asciiTheme="minorEastAsia" w:hAnsiTheme="minorEastAsia" w:eastAsiaTheme="minorEastAsia" w:cstheme="minorEastAsia"/>
          <w:sz w:val="21"/>
          <w:szCs w:val="21"/>
        </w:rPr>
      </w:pPr>
      <w:bookmarkStart w:id="270" w:name="_Toc7922"/>
      <w:bookmarkStart w:id="271" w:name="_Toc113958412"/>
      <w:r>
        <w:rPr>
          <w:rFonts w:hint="eastAsia" w:asciiTheme="minorEastAsia" w:hAnsiTheme="minorEastAsia" w:eastAsiaTheme="minorEastAsia" w:cstheme="minorEastAsia"/>
          <w:sz w:val="21"/>
          <w:szCs w:val="21"/>
        </w:rPr>
        <w:t>9.1 对招标人的纪律要求</w:t>
      </w:r>
      <w:bookmarkEnd w:id="270"/>
      <w:bookmarkEnd w:id="271"/>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招标人不得泄漏招标投标活动中应当保密的情况和资料，不得与投标人串通损害国家利益、社会公共利益或者他人合法权益。</w:t>
      </w:r>
    </w:p>
    <w:p>
      <w:pPr>
        <w:pStyle w:val="7"/>
        <w:spacing w:line="360" w:lineRule="auto"/>
        <w:ind w:left="0" w:firstLine="0"/>
        <w:rPr>
          <w:rFonts w:asciiTheme="minorEastAsia" w:hAnsiTheme="minorEastAsia" w:eastAsiaTheme="minorEastAsia" w:cstheme="minorEastAsia"/>
          <w:sz w:val="21"/>
          <w:szCs w:val="21"/>
        </w:rPr>
      </w:pPr>
      <w:bookmarkStart w:id="272" w:name="_Toc113958413"/>
      <w:bookmarkStart w:id="273" w:name="_Toc7554"/>
      <w:r>
        <w:rPr>
          <w:rFonts w:hint="eastAsia" w:asciiTheme="minorEastAsia" w:hAnsiTheme="minorEastAsia" w:eastAsiaTheme="minorEastAsia" w:cstheme="minorEastAsia"/>
          <w:sz w:val="21"/>
          <w:szCs w:val="21"/>
        </w:rPr>
        <w:t>9.2 对投标人的纪律要求</w:t>
      </w:r>
      <w:bookmarkEnd w:id="272"/>
      <w:bookmarkEnd w:id="273"/>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9.3 对评标委员会成员的纪律要求</w:t>
      </w:r>
    </w:p>
    <w:p>
      <w:pPr>
        <w:adjustRightInd w:val="0"/>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委员会成员不得收受他人的财物或者其他好处，不得向他人透漏对投标文件的评审比较、中标候选人的推荐情况以及评标有关的其他情况。在评标活动中，评标委员会成员不得擅离职守，影响评标程序正常进行，不得使用第三章“评标办法”没有规定的评审因素和标准进行评标。</w:t>
      </w:r>
    </w:p>
    <w:p>
      <w:pPr>
        <w:adjustRightIn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9.4 对与评标活动有关的工作人员的纪律要求</w:t>
      </w:r>
    </w:p>
    <w:p>
      <w:pPr>
        <w:adjustRightInd w:val="0"/>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spacing w:line="360" w:lineRule="auto"/>
        <w:ind w:left="0" w:firstLine="0"/>
        <w:rPr>
          <w:rFonts w:asciiTheme="minorEastAsia" w:hAnsiTheme="minorEastAsia" w:eastAsiaTheme="minorEastAsia" w:cstheme="minorEastAsia"/>
          <w:b/>
          <w:bCs/>
          <w:sz w:val="21"/>
          <w:szCs w:val="21"/>
        </w:rPr>
      </w:pPr>
      <w:bookmarkStart w:id="274" w:name="_Toc498286120"/>
      <w:bookmarkStart w:id="275" w:name="_Toc329"/>
      <w:bookmarkStart w:id="276" w:name="_Toc282823835"/>
      <w:bookmarkStart w:id="277" w:name="_Toc113958414"/>
      <w:bookmarkStart w:id="278" w:name="_Toc8775"/>
      <w:r>
        <w:rPr>
          <w:rFonts w:hint="eastAsia" w:asciiTheme="minorEastAsia" w:hAnsiTheme="minorEastAsia" w:eastAsiaTheme="minorEastAsia" w:cstheme="minorEastAsia"/>
          <w:b/>
          <w:bCs/>
          <w:sz w:val="21"/>
          <w:szCs w:val="21"/>
        </w:rPr>
        <w:t>10. 需要补充的其他内容</w:t>
      </w:r>
      <w:bookmarkEnd w:id="274"/>
      <w:bookmarkEnd w:id="275"/>
      <w:bookmarkEnd w:id="276"/>
      <w:bookmarkEnd w:id="277"/>
      <w:bookmarkEnd w:id="27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10.1中标公示在中标通知书发出前，招标人将中标候选人的情况在本招标项目招标公告发布的同一媒介上予以公示，公示期不少于3个工作日。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10.2解释权</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评标办法、投标人须知、招标公告的顺序解释；同一组成文件中就同一事项的规定或约定不一致的，以编排顺序在后者为准；同一组成文件不同版本之间有不一致的，以形成时间在后者为准。按本款前述规定仍不能形成结论的，由招标人负责解释。</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10.3招标人补充的其他内容。</w:t>
      </w:r>
    </w:p>
    <w:p>
      <w:pPr>
        <w:pStyle w:val="6"/>
        <w:adjustRightInd w:val="0"/>
        <w:snapToGrid w:val="0"/>
        <w:spacing w:line="360" w:lineRule="auto"/>
        <w:ind w:left="0" w:firstLine="0"/>
        <w:rPr>
          <w:rFonts w:asciiTheme="minorEastAsia" w:hAnsiTheme="minorEastAsia" w:eastAsiaTheme="minorEastAsia" w:cstheme="minorEastAsia"/>
          <w:b/>
          <w:bCs/>
          <w:sz w:val="21"/>
          <w:szCs w:val="21"/>
        </w:rPr>
      </w:pPr>
      <w:bookmarkStart w:id="279" w:name="_Toc22852"/>
      <w:bookmarkStart w:id="280" w:name="_Toc4494"/>
      <w:bookmarkStart w:id="281" w:name="_Toc113958415"/>
      <w:r>
        <w:rPr>
          <w:rFonts w:hint="eastAsia" w:asciiTheme="minorEastAsia" w:hAnsiTheme="minorEastAsia" w:eastAsiaTheme="minorEastAsia" w:cstheme="minorEastAsia"/>
          <w:b/>
          <w:bCs/>
          <w:sz w:val="21"/>
          <w:szCs w:val="21"/>
        </w:rPr>
        <w:t>11．电子招标投标</w:t>
      </w:r>
      <w:bookmarkEnd w:id="279"/>
      <w:bookmarkEnd w:id="280"/>
      <w:bookmarkEnd w:id="281"/>
    </w:p>
    <w:p>
      <w:pPr>
        <w:adjustRightInd w:val="0"/>
        <w:snapToGrid w:val="0"/>
        <w:spacing w:line="360" w:lineRule="auto"/>
        <w:ind w:firstLine="44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采用电子招标投标的，对投标文件的编制、密封和标记、递交、开标、评标等的具体要求另行规定。本项目为全流程电子招标。</w:t>
      </w:r>
    </w:p>
    <w:p>
      <w:pPr>
        <w:pStyle w:val="5"/>
        <w:numPr>
          <w:ilvl w:val="0"/>
          <w:numId w:val="4"/>
        </w:numPr>
        <w:spacing w:before="0" w:line="360" w:lineRule="auto"/>
        <w:ind w:left="0"/>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1"/>
          <w:szCs w:val="21"/>
        </w:rPr>
        <w:br w:type="page"/>
      </w:r>
      <w:bookmarkStart w:id="282" w:name="第三章_评标办法"/>
      <w:bookmarkEnd w:id="282"/>
      <w:bookmarkStart w:id="283" w:name="_Toc11265"/>
      <w:bookmarkStart w:id="284" w:name="_Toc3621"/>
      <w:r>
        <w:rPr>
          <w:rFonts w:hint="eastAsia" w:asciiTheme="minorEastAsia" w:hAnsiTheme="minorEastAsia" w:eastAsiaTheme="minorEastAsia" w:cstheme="minorEastAsia"/>
          <w:sz w:val="32"/>
          <w:szCs w:val="32"/>
        </w:rPr>
        <w:t>评标办法</w:t>
      </w:r>
      <w:bookmarkEnd w:id="283"/>
      <w:bookmarkEnd w:id="284"/>
    </w:p>
    <w:p>
      <w:pPr>
        <w:adjustRightInd w:val="0"/>
        <w:snapToGrid w:val="0"/>
        <w:spacing w:line="360" w:lineRule="auto"/>
        <w:jc w:val="center"/>
        <w:outlineLvl w:val="1"/>
        <w:rPr>
          <w:rFonts w:asciiTheme="minorEastAsia" w:hAnsiTheme="minorEastAsia" w:eastAsiaTheme="minorEastAsia" w:cstheme="minorEastAsia"/>
          <w:b/>
          <w:bCs/>
          <w:sz w:val="28"/>
          <w:szCs w:val="28"/>
        </w:rPr>
      </w:pPr>
      <w:bookmarkStart w:id="285" w:name="评标办法前附表"/>
      <w:bookmarkEnd w:id="285"/>
      <w:bookmarkStart w:id="286" w:name="_Toc113958417"/>
      <w:bookmarkStart w:id="287" w:name="_Toc11440"/>
      <w:bookmarkStart w:id="288" w:name="_Toc12174"/>
      <w:r>
        <w:rPr>
          <w:rFonts w:hint="eastAsia" w:asciiTheme="minorEastAsia" w:hAnsiTheme="minorEastAsia" w:eastAsiaTheme="minorEastAsia" w:cstheme="minorEastAsia"/>
          <w:b/>
          <w:bCs/>
          <w:spacing w:val="15"/>
          <w:sz w:val="28"/>
          <w:szCs w:val="28"/>
        </w:rPr>
        <w:t>评标办法前附表</w:t>
      </w:r>
      <w:bookmarkEnd w:id="286"/>
      <w:bookmarkEnd w:id="287"/>
      <w:bookmarkEnd w:id="288"/>
    </w:p>
    <w:p>
      <w:pPr>
        <w:pStyle w:val="7"/>
        <w:adjustRightInd w:val="0"/>
        <w:snapToGrid w:val="0"/>
        <w:spacing w:line="360" w:lineRule="auto"/>
        <w:ind w:left="0" w:firstLine="0"/>
        <w:jc w:val="center"/>
      </w:pPr>
      <w:bookmarkStart w:id="289" w:name="_Toc25204"/>
      <w:bookmarkStart w:id="290" w:name="_Toc113958418"/>
      <w:bookmarkStart w:id="291" w:name="_Toc3406"/>
      <w:r>
        <w:rPr>
          <w:rFonts w:hint="eastAsia"/>
        </w:rPr>
        <w:t>（一）资格评审基本条件表</w:t>
      </w:r>
      <w:bookmarkEnd w:id="289"/>
      <w:bookmarkEnd w:id="290"/>
      <w:bookmarkEnd w:id="291"/>
    </w:p>
    <w:tbl>
      <w:tblPr>
        <w:tblStyle w:val="47"/>
        <w:tblpPr w:leftFromText="180" w:rightFromText="180" w:vertAnchor="text" w:horzAnchor="page" w:tblpX="1207" w:tblpY="41"/>
        <w:tblOverlap w:val="never"/>
        <w:tblW w:w="967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28"/>
        <w:gridCol w:w="1297"/>
        <w:gridCol w:w="3503"/>
        <w:gridCol w:w="2507"/>
        <w:gridCol w:w="1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28" w:type="dxa"/>
            <w:vAlign w:val="center"/>
          </w:tcPr>
          <w:p>
            <w:pPr>
              <w:pStyle w:val="50"/>
              <w:spacing w:line="3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297" w:type="dxa"/>
            <w:vAlign w:val="center"/>
          </w:tcPr>
          <w:p>
            <w:pPr>
              <w:pStyle w:val="50"/>
              <w:spacing w:line="3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审核要素</w:t>
            </w:r>
          </w:p>
        </w:tc>
        <w:tc>
          <w:tcPr>
            <w:tcW w:w="3503" w:type="dxa"/>
            <w:vAlign w:val="center"/>
          </w:tcPr>
          <w:p>
            <w:pPr>
              <w:pStyle w:val="50"/>
              <w:spacing w:line="3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投标资格合格条件标准</w:t>
            </w:r>
          </w:p>
        </w:tc>
        <w:tc>
          <w:tcPr>
            <w:tcW w:w="2507" w:type="dxa"/>
            <w:vAlign w:val="center"/>
          </w:tcPr>
          <w:p>
            <w:pPr>
              <w:pStyle w:val="50"/>
              <w:spacing w:line="3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有效证明材料</w:t>
            </w:r>
          </w:p>
        </w:tc>
        <w:tc>
          <w:tcPr>
            <w:tcW w:w="1744" w:type="dxa"/>
            <w:vAlign w:val="center"/>
          </w:tcPr>
          <w:p>
            <w:pPr>
              <w:pStyle w:val="50"/>
              <w:spacing w:line="360" w:lineRule="exact"/>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证明材料提供方</w:t>
            </w:r>
            <w:r>
              <w:rPr>
                <w:rFonts w:hint="eastAsia" w:asciiTheme="minorEastAsia" w:hAnsiTheme="minorEastAsia" w:eastAsiaTheme="minorEastAsia" w:cstheme="minorEastAsia"/>
                <w:b/>
                <w:w w:val="99"/>
                <w:sz w:val="21"/>
                <w:szCs w:val="21"/>
              </w:rPr>
              <w:t>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36" w:hRule="atLeast"/>
        </w:trPr>
        <w:tc>
          <w:tcPr>
            <w:tcW w:w="628"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投标函及投标函附录</w:t>
            </w:r>
          </w:p>
        </w:tc>
        <w:tc>
          <w:tcPr>
            <w:tcW w:w="3503" w:type="dxa"/>
            <w:vAlign w:val="center"/>
          </w:tcPr>
          <w:p>
            <w:pPr>
              <w:pStyle w:val="50"/>
              <w:wordWrap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格式详见本招标文件第六章投标文件格式一</w:t>
            </w:r>
          </w:p>
        </w:tc>
        <w:tc>
          <w:tcPr>
            <w:tcW w:w="2507" w:type="dxa"/>
            <w:vAlign w:val="center"/>
          </w:tcPr>
          <w:p>
            <w:pPr>
              <w:pStyle w:val="50"/>
              <w:wordWrap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并加盖公章的投标函及投标函附录</w:t>
            </w:r>
          </w:p>
        </w:tc>
        <w:tc>
          <w:tcPr>
            <w:tcW w:w="1744" w:type="dxa"/>
            <w:vAlign w:val="center"/>
          </w:tcPr>
          <w:p>
            <w:pPr>
              <w:pStyle w:val="50"/>
              <w:wordWrap w:val="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上传电子扫描件或在投标文件制作工具内制作并签章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1" w:hRule="atLeast"/>
        </w:trPr>
        <w:tc>
          <w:tcPr>
            <w:tcW w:w="628" w:type="dxa"/>
            <w:vAlign w:val="center"/>
          </w:tcPr>
          <w:p>
            <w:pPr>
              <w:pStyle w:val="50"/>
              <w:spacing w:before="152"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2</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独立的法人营业资格</w:t>
            </w:r>
          </w:p>
        </w:tc>
        <w:tc>
          <w:tcPr>
            <w:tcW w:w="3503"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独立投标人或联合体各成员须具有独立法人资格，有效的营业执照</w:t>
            </w:r>
          </w:p>
        </w:tc>
        <w:tc>
          <w:tcPr>
            <w:tcW w:w="2507" w:type="dxa"/>
            <w:vAlign w:val="center"/>
          </w:tcPr>
          <w:p>
            <w:pPr>
              <w:pStyle w:val="50"/>
              <w:wordWrap w:val="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有效的企业法人营业执照（副本）</w:t>
            </w:r>
          </w:p>
        </w:tc>
        <w:tc>
          <w:tcPr>
            <w:tcW w:w="1744"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36" w:hRule="atLeast"/>
        </w:trPr>
        <w:tc>
          <w:tcPr>
            <w:tcW w:w="628" w:type="dxa"/>
            <w:vAlign w:val="center"/>
          </w:tcPr>
          <w:p>
            <w:pPr>
              <w:pStyle w:val="50"/>
              <w:spacing w:before="166"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企业资质等级</w:t>
            </w:r>
          </w:p>
        </w:tc>
        <w:tc>
          <w:tcPr>
            <w:tcW w:w="3503" w:type="dxa"/>
            <w:vAlign w:val="center"/>
          </w:tcPr>
          <w:p>
            <w:pPr>
              <w:autoSpaceDN/>
              <w:spacing w:line="360" w:lineRule="auto"/>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w:t>
            </w:r>
          </w:p>
        </w:tc>
        <w:tc>
          <w:tcPr>
            <w:tcW w:w="250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有效的企业资质等级证书</w:t>
            </w:r>
          </w:p>
        </w:tc>
        <w:tc>
          <w:tcPr>
            <w:tcW w:w="1744" w:type="dxa"/>
            <w:vAlign w:val="center"/>
          </w:tcPr>
          <w:p>
            <w:pPr>
              <w:pStyle w:val="50"/>
              <w:wordWrap w:val="0"/>
              <w:spacing w:before="1"/>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6" w:hRule="atLeast"/>
        </w:trPr>
        <w:tc>
          <w:tcPr>
            <w:tcW w:w="628" w:type="dxa"/>
            <w:vAlign w:val="center"/>
          </w:tcPr>
          <w:p>
            <w:pPr>
              <w:pStyle w:val="50"/>
              <w:spacing w:before="1"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4</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企业安全生产许可证</w:t>
            </w:r>
          </w:p>
        </w:tc>
        <w:tc>
          <w:tcPr>
            <w:tcW w:w="3503"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具有建设行政主管部门核发的施工安全生产许可证</w:t>
            </w:r>
          </w:p>
        </w:tc>
        <w:tc>
          <w:tcPr>
            <w:tcW w:w="250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有效的企业安全生产许可证</w:t>
            </w:r>
          </w:p>
        </w:tc>
        <w:tc>
          <w:tcPr>
            <w:tcW w:w="1744"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5" w:hRule="atLeast"/>
        </w:trPr>
        <w:tc>
          <w:tcPr>
            <w:tcW w:w="628"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5</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生产经营状态</w:t>
            </w:r>
          </w:p>
        </w:tc>
        <w:tc>
          <w:tcPr>
            <w:tcW w:w="3503"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处于正常生产经营状态，没有处于被责令停业、投标资格被取消、财产被接管、冻结、破产状态</w:t>
            </w:r>
          </w:p>
        </w:tc>
        <w:tc>
          <w:tcPr>
            <w:tcW w:w="250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并加盖公章的承诺书（附件 九）</w:t>
            </w:r>
          </w:p>
        </w:tc>
        <w:tc>
          <w:tcPr>
            <w:tcW w:w="1744"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46" w:hRule="atLeast"/>
        </w:trPr>
        <w:tc>
          <w:tcPr>
            <w:tcW w:w="628"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6</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履约历史</w:t>
            </w:r>
          </w:p>
        </w:tc>
        <w:tc>
          <w:tcPr>
            <w:tcW w:w="3503"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投标时（以递交投标文件为截止时间为准）未被列入淮北市农民工工资支付保障领导小组办公室出具的《淮北市建筑领域“黑名单”企业和个人一览表》</w:t>
            </w:r>
          </w:p>
        </w:tc>
        <w:tc>
          <w:tcPr>
            <w:tcW w:w="250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并加盖公章的未被列入《淮北市建筑领域“黑名单”企业和个人一览表》承诺书（附件九）</w:t>
            </w:r>
          </w:p>
        </w:tc>
        <w:tc>
          <w:tcPr>
            <w:tcW w:w="1744" w:type="dxa"/>
            <w:vAlign w:val="center"/>
          </w:tcPr>
          <w:p>
            <w:pPr>
              <w:pStyle w:val="50"/>
              <w:wordWrap w:val="0"/>
              <w:spacing w:before="1"/>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81" w:hRule="atLeast"/>
        </w:trPr>
        <w:tc>
          <w:tcPr>
            <w:tcW w:w="628"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7</w:t>
            </w:r>
          </w:p>
        </w:tc>
        <w:tc>
          <w:tcPr>
            <w:tcW w:w="1297" w:type="dxa"/>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项目负责人资格</w:t>
            </w:r>
          </w:p>
        </w:tc>
        <w:tc>
          <w:tcPr>
            <w:tcW w:w="3503" w:type="dxa"/>
            <w:vAlign w:val="center"/>
          </w:tcPr>
          <w:p>
            <w:pPr>
              <w:pStyle w:val="50"/>
              <w:wordWrap w:val="0"/>
              <w:spacing w:before="15"/>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w:t>
            </w:r>
          </w:p>
        </w:tc>
        <w:tc>
          <w:tcPr>
            <w:tcW w:w="2507" w:type="dxa"/>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有效建造师注册证书、安全考核合格证。提供投标人为其缴纳的自2022年1月（含）以来不少于连续缴费 </w:t>
            </w:r>
            <w:r>
              <w:rPr>
                <w:rFonts w:hint="eastAsia" w:asciiTheme="minorEastAsia" w:hAnsiTheme="minorEastAsia" w:eastAsiaTheme="minorEastAsia" w:cstheme="minorEastAsia"/>
                <w:bCs/>
                <w:sz w:val="21"/>
                <w:szCs w:val="21"/>
                <w:lang w:val="en-US"/>
              </w:rPr>
              <w:t>6</w:t>
            </w:r>
            <w:r>
              <w:rPr>
                <w:rFonts w:hint="eastAsia" w:asciiTheme="minorEastAsia" w:hAnsiTheme="minorEastAsia" w:eastAsiaTheme="minorEastAsia" w:cstheme="minorEastAsia"/>
                <w:bCs/>
                <w:sz w:val="21"/>
                <w:szCs w:val="21"/>
              </w:rPr>
              <w:t>个月的有效社保证明（证明以社保主管部门出具的为准）。</w:t>
            </w:r>
          </w:p>
        </w:tc>
        <w:tc>
          <w:tcPr>
            <w:tcW w:w="1744" w:type="dxa"/>
            <w:vAlign w:val="center"/>
          </w:tcPr>
          <w:p>
            <w:pPr>
              <w:pStyle w:val="50"/>
              <w:wordWrap w:val="0"/>
              <w:spacing w:before="133"/>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1" w:hRule="atLeast"/>
        </w:trPr>
        <w:tc>
          <w:tcPr>
            <w:tcW w:w="628" w:type="dxa"/>
            <w:tcBorders>
              <w:left w:val="single" w:color="000000" w:sz="6" w:space="0"/>
              <w:bottom w:val="single" w:color="000000" w:sz="6" w:space="0"/>
              <w:right w:val="single" w:color="000000" w:sz="6" w:space="0"/>
            </w:tcBorders>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8</w:t>
            </w:r>
          </w:p>
        </w:tc>
        <w:tc>
          <w:tcPr>
            <w:tcW w:w="129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设计负责人</w:t>
            </w:r>
          </w:p>
        </w:tc>
        <w:tc>
          <w:tcPr>
            <w:tcW w:w="3503" w:type="dxa"/>
            <w:tcBorders>
              <w:left w:val="single" w:color="000000" w:sz="6" w:space="0"/>
              <w:bottom w:val="single" w:color="000000" w:sz="6" w:space="0"/>
              <w:right w:val="single" w:color="000000" w:sz="6" w:space="0"/>
            </w:tcBorders>
            <w:vAlign w:val="center"/>
          </w:tcPr>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lang w:val="en-US"/>
              </w:rPr>
              <w:t xml:space="preserve"> </w:t>
            </w:r>
          </w:p>
        </w:tc>
        <w:tc>
          <w:tcPr>
            <w:tcW w:w="250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rPr>
              <w:t>注册</w:t>
            </w:r>
            <w:r>
              <w:rPr>
                <w:rFonts w:hint="eastAsia" w:asciiTheme="minorEastAsia" w:hAnsiTheme="minorEastAsia" w:eastAsiaTheme="minorEastAsia" w:cstheme="minorEastAsia"/>
                <w:bCs/>
                <w:sz w:val="21"/>
                <w:szCs w:val="21"/>
              </w:rPr>
              <w:t>证书，提供投标人为其缴纳的自2022年1月（含）以来不少于连续缴费</w:t>
            </w:r>
            <w:r>
              <w:rPr>
                <w:rFonts w:hint="eastAsia" w:asciiTheme="minorEastAsia" w:hAnsiTheme="minorEastAsia" w:eastAsiaTheme="minorEastAsia" w:cstheme="minorEastAsia"/>
                <w:bCs/>
                <w:sz w:val="21"/>
                <w:szCs w:val="21"/>
                <w:lang w:val="en-US"/>
              </w:rPr>
              <w:t>6</w:t>
            </w:r>
            <w:r>
              <w:rPr>
                <w:rFonts w:hint="eastAsia" w:asciiTheme="minorEastAsia" w:hAnsiTheme="minorEastAsia" w:eastAsiaTheme="minorEastAsia" w:cstheme="minorEastAsia"/>
                <w:bCs/>
                <w:sz w:val="21"/>
                <w:szCs w:val="21"/>
              </w:rPr>
              <w:t>个月的有效社保证明（证明以社保主管部门出具的为准）。</w:t>
            </w:r>
          </w:p>
        </w:tc>
        <w:tc>
          <w:tcPr>
            <w:tcW w:w="1744"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5" w:hRule="atLeast"/>
        </w:trPr>
        <w:tc>
          <w:tcPr>
            <w:tcW w:w="628" w:type="dxa"/>
            <w:tcBorders>
              <w:top w:val="single" w:color="000000" w:sz="6" w:space="0"/>
              <w:left w:val="single" w:color="000000" w:sz="6" w:space="0"/>
              <w:bottom w:val="single" w:color="000000" w:sz="6" w:space="0"/>
              <w:right w:val="single" w:color="000000" w:sz="6" w:space="0"/>
            </w:tcBorders>
            <w:vAlign w:val="center"/>
          </w:tcPr>
          <w:p>
            <w:pPr>
              <w:pStyle w:val="50"/>
              <w:spacing w:before="179"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9</w:t>
            </w:r>
          </w:p>
        </w:tc>
        <w:tc>
          <w:tcPr>
            <w:tcW w:w="1297"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拟派项目负责人动态</w:t>
            </w:r>
          </w:p>
        </w:tc>
        <w:tc>
          <w:tcPr>
            <w:tcW w:w="3503"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拟派项目负责人投标时（以递交投标文件截止时间为准）无在建项目、无拟中标已公示项目。</w:t>
            </w:r>
          </w:p>
        </w:tc>
        <w:tc>
          <w:tcPr>
            <w:tcW w:w="2507"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出具由法定代表人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并加盖公章的承诺书（附件九）</w:t>
            </w:r>
          </w:p>
        </w:tc>
        <w:tc>
          <w:tcPr>
            <w:tcW w:w="1744"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28" w:type="dxa"/>
            <w:tcBorders>
              <w:top w:val="single" w:color="000000" w:sz="6" w:space="0"/>
              <w:left w:val="single" w:color="000000" w:sz="6" w:space="0"/>
              <w:bottom w:val="single" w:color="000000" w:sz="6" w:space="0"/>
              <w:right w:val="single" w:color="000000" w:sz="6" w:space="0"/>
            </w:tcBorders>
            <w:vAlign w:val="center"/>
          </w:tcPr>
          <w:p>
            <w:pPr>
              <w:pStyle w:val="50"/>
              <w:spacing w:before="179"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《无行贿犯罪行为承诺书》</w:t>
            </w:r>
          </w:p>
        </w:tc>
        <w:tc>
          <w:tcPr>
            <w:tcW w:w="3503" w:type="dxa"/>
            <w:tcBorders>
              <w:top w:val="single" w:color="000000" w:sz="6" w:space="0"/>
              <w:left w:val="single" w:color="000000" w:sz="6" w:space="0"/>
              <w:bottom w:val="single" w:color="000000" w:sz="6" w:space="0"/>
              <w:right w:val="single" w:color="000000" w:sz="6" w:space="0"/>
            </w:tcBorders>
            <w:vAlign w:val="center"/>
          </w:tcPr>
          <w:p>
            <w:pPr>
              <w:pStyle w:val="50"/>
              <w:wordWrap w:val="0"/>
              <w:spacing w:before="1"/>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提供《无行贿犯罪行为承诺书》</w:t>
            </w:r>
          </w:p>
        </w:tc>
        <w:tc>
          <w:tcPr>
            <w:tcW w:w="2507"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《无行贿犯罪行为承诺书》（附件九）</w:t>
            </w:r>
          </w:p>
        </w:tc>
        <w:tc>
          <w:tcPr>
            <w:tcW w:w="1744" w:type="dxa"/>
            <w:tcBorders>
              <w:top w:val="single" w:color="000000" w:sz="6" w:space="0"/>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44" w:hRule="atLeast"/>
        </w:trPr>
        <w:tc>
          <w:tcPr>
            <w:tcW w:w="628" w:type="dxa"/>
            <w:tcBorders>
              <w:top w:val="single" w:color="000000" w:sz="6" w:space="0"/>
              <w:left w:val="single" w:color="000000" w:sz="6" w:space="0"/>
              <w:right w:val="single" w:color="000000" w:sz="6" w:space="0"/>
            </w:tcBorders>
            <w:vAlign w:val="center"/>
          </w:tcPr>
          <w:p>
            <w:pPr>
              <w:pStyle w:val="50"/>
              <w:spacing w:line="360" w:lineRule="exact"/>
              <w:jc w:val="center"/>
              <w:rPr>
                <w:rFonts w:asciiTheme="minorEastAsia" w:hAnsiTheme="minorEastAsia" w:eastAsiaTheme="minorEastAsia" w:cstheme="minorEastAsia"/>
                <w:bCs/>
                <w:sz w:val="21"/>
                <w:szCs w:val="21"/>
                <w:lang w:val="en-US"/>
              </w:rPr>
            </w:pPr>
            <w:r>
              <w:rPr>
                <w:rFonts w:hint="eastAsia" w:asciiTheme="minorEastAsia" w:hAnsiTheme="minorEastAsia" w:eastAsiaTheme="minorEastAsia" w:cstheme="minorEastAsia"/>
                <w:bCs/>
                <w:sz w:val="21"/>
                <w:szCs w:val="21"/>
                <w:lang w:val="en-US"/>
              </w:rPr>
              <w:t>11</w:t>
            </w:r>
          </w:p>
        </w:tc>
        <w:tc>
          <w:tcPr>
            <w:tcW w:w="1297" w:type="dxa"/>
            <w:tcBorders>
              <w:top w:val="single" w:color="000000" w:sz="6" w:space="0"/>
              <w:left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法律法规、行政处罚禁止投标</w:t>
            </w:r>
          </w:p>
        </w:tc>
        <w:tc>
          <w:tcPr>
            <w:tcW w:w="3503" w:type="dxa"/>
            <w:tcBorders>
              <w:top w:val="single" w:color="000000" w:sz="6" w:space="0"/>
              <w:left w:val="single" w:color="000000" w:sz="6" w:space="0"/>
              <w:right w:val="single" w:color="000000" w:sz="6" w:space="0"/>
            </w:tcBorders>
            <w:vAlign w:val="center"/>
          </w:tcPr>
          <w:p>
            <w:pPr>
              <w:widowControl/>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招标人的任何不具独立法人资格的附属机构（单位），或者为招标项目的前期准备或者监理工作提供设计、咨询服务的任何法人及其附属机构（单位）；因围标、串标、弄虚作假骗取中标、出现重大工程质量或安全事故等受到限制投标的行政处罚，且在投标限制期限内的都无资格参加该招标项目的投标。</w:t>
            </w:r>
          </w:p>
        </w:tc>
        <w:tc>
          <w:tcPr>
            <w:tcW w:w="2507" w:type="dxa"/>
            <w:tcBorders>
              <w:top w:val="single" w:color="000000" w:sz="6" w:space="0"/>
              <w:left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并加盖公章的承诺书（附件 九）</w:t>
            </w:r>
          </w:p>
        </w:tc>
        <w:tc>
          <w:tcPr>
            <w:tcW w:w="1744" w:type="dxa"/>
            <w:tcBorders>
              <w:top w:val="single" w:color="000000" w:sz="6" w:space="0"/>
              <w:left w:val="single" w:color="000000" w:sz="6" w:space="0"/>
              <w:right w:val="single" w:color="000000" w:sz="6" w:space="0"/>
            </w:tcBorders>
            <w:vAlign w:val="center"/>
          </w:tcPr>
          <w:p>
            <w:pPr>
              <w:pStyle w:val="50"/>
              <w:wordWrap w:val="0"/>
              <w:spacing w:before="1"/>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52" w:hRule="atLeast"/>
        </w:trPr>
        <w:tc>
          <w:tcPr>
            <w:tcW w:w="628" w:type="dxa"/>
            <w:tcBorders>
              <w:left w:val="single" w:color="000000" w:sz="6" w:space="0"/>
              <w:bottom w:val="single" w:color="000000" w:sz="6" w:space="0"/>
              <w:right w:val="single" w:color="000000" w:sz="6" w:space="0"/>
            </w:tcBorders>
            <w:vAlign w:val="center"/>
          </w:tcPr>
          <w:p>
            <w:pPr>
              <w:pStyle w:val="50"/>
              <w:spacing w:before="197"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12</w:t>
            </w:r>
          </w:p>
        </w:tc>
        <w:tc>
          <w:tcPr>
            <w:tcW w:w="129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投标承诺</w:t>
            </w:r>
          </w:p>
          <w:p>
            <w:pPr>
              <w:pStyle w:val="50"/>
              <w:wordWrap w:val="0"/>
              <w:spacing w:before="16"/>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书</w:t>
            </w:r>
          </w:p>
        </w:tc>
        <w:tc>
          <w:tcPr>
            <w:tcW w:w="3503" w:type="dxa"/>
            <w:tcBorders>
              <w:left w:val="single" w:color="000000" w:sz="6" w:space="0"/>
              <w:bottom w:val="single" w:color="000000" w:sz="6" w:space="0"/>
              <w:right w:val="single" w:color="000000" w:sz="6" w:space="0"/>
            </w:tcBorders>
            <w:vAlign w:val="center"/>
          </w:tcPr>
          <w:p>
            <w:pPr>
              <w:pStyle w:val="50"/>
              <w:wordWrap w:val="0"/>
              <w:spacing w:before="87"/>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本公司将严格按照该工程的招标文件要求完成投标程序,不提供虚假材料,否则按虚假投标处理。如果中标,决不转包和非法分包,否则按招标投标法有关规定处理。</w:t>
            </w:r>
          </w:p>
        </w:tc>
        <w:tc>
          <w:tcPr>
            <w:tcW w:w="250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由投标人法定代表人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并加盖公章的承诺书（附件九）</w:t>
            </w:r>
          </w:p>
        </w:tc>
        <w:tc>
          <w:tcPr>
            <w:tcW w:w="1744"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6" w:hRule="atLeast"/>
        </w:trPr>
        <w:tc>
          <w:tcPr>
            <w:tcW w:w="628" w:type="dxa"/>
            <w:tcBorders>
              <w:left w:val="single" w:color="000000" w:sz="6" w:space="0"/>
              <w:right w:val="single" w:color="000000" w:sz="6" w:space="0"/>
            </w:tcBorders>
            <w:vAlign w:val="center"/>
          </w:tcPr>
          <w:p>
            <w:pPr>
              <w:pStyle w:val="50"/>
              <w:spacing w:before="157"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rPr>
              <w:t>3</w:t>
            </w:r>
          </w:p>
        </w:tc>
        <w:tc>
          <w:tcPr>
            <w:tcW w:w="1297" w:type="dxa"/>
            <w:tcBorders>
              <w:left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资格信誉</w:t>
            </w:r>
          </w:p>
        </w:tc>
        <w:tc>
          <w:tcPr>
            <w:tcW w:w="3503"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A、投标时企业未被列入失信人名单，投标人须同时在中国执行信息公开网站、信用中国网站查询未被列入失信人名单。</w:t>
            </w:r>
          </w:p>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B、投标时企业法定代表人未被列入失信人名单，投标人企业法定代表人须在中国执行信息公开网站查询未被列入失信人名单。</w:t>
            </w:r>
          </w:p>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C、投标时拟派项目负责人、设计负责人未被列入失信人名单，投标人须在中国执行信息公开网站查询未被列入失信人名单</w:t>
            </w:r>
          </w:p>
        </w:tc>
        <w:tc>
          <w:tcPr>
            <w:tcW w:w="250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提供由法定代表人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并加盖公章的承诺书（附件九）。</w:t>
            </w:r>
          </w:p>
        </w:tc>
        <w:tc>
          <w:tcPr>
            <w:tcW w:w="1744"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628" w:type="dxa"/>
            <w:tcBorders>
              <w:left w:val="single" w:color="000000" w:sz="6" w:space="0"/>
              <w:right w:val="single" w:color="000000" w:sz="6" w:space="0"/>
            </w:tcBorders>
            <w:vAlign w:val="center"/>
          </w:tcPr>
          <w:p>
            <w:pPr>
              <w:pStyle w:val="50"/>
              <w:spacing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14</w:t>
            </w:r>
          </w:p>
        </w:tc>
        <w:tc>
          <w:tcPr>
            <w:tcW w:w="1297" w:type="dxa"/>
            <w:tcBorders>
              <w:left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w:t>
            </w:r>
          </w:p>
        </w:tc>
        <w:tc>
          <w:tcPr>
            <w:tcW w:w="3503"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w:t>
            </w:r>
          </w:p>
        </w:tc>
        <w:tc>
          <w:tcPr>
            <w:tcW w:w="2507" w:type="dxa"/>
            <w:tcBorders>
              <w:left w:val="single" w:color="000000" w:sz="6" w:space="0"/>
              <w:right w:val="single" w:color="000000" w:sz="6" w:space="0"/>
            </w:tcBorders>
            <w:vAlign w:val="center"/>
          </w:tcPr>
          <w:p>
            <w:pPr>
              <w:autoSpaceDN/>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投标人业绩须提供中标通知书、设计施工总承包合同，同时须提供中标公示网页打印，网页打印纸质版须含有网页打印时间，截图无效，打印时间须在公告发布之日起至递交投标文件截止时间止，并加盖公章。</w:t>
            </w:r>
          </w:p>
        </w:tc>
        <w:tc>
          <w:tcPr>
            <w:tcW w:w="1744"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9" w:hRule="atLeast"/>
        </w:trPr>
        <w:tc>
          <w:tcPr>
            <w:tcW w:w="628" w:type="dxa"/>
            <w:tcBorders>
              <w:left w:val="single" w:color="000000" w:sz="6" w:space="0"/>
              <w:right w:val="single" w:color="000000" w:sz="6" w:space="0"/>
            </w:tcBorders>
            <w:vAlign w:val="center"/>
          </w:tcPr>
          <w:p>
            <w:pPr>
              <w:pStyle w:val="50"/>
              <w:spacing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15</w:t>
            </w:r>
          </w:p>
        </w:tc>
        <w:tc>
          <w:tcPr>
            <w:tcW w:w="1297" w:type="dxa"/>
            <w:tcBorders>
              <w:left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联合体协议书</w:t>
            </w:r>
          </w:p>
        </w:tc>
        <w:tc>
          <w:tcPr>
            <w:tcW w:w="3503" w:type="dxa"/>
            <w:tcBorders>
              <w:left w:val="single" w:color="000000" w:sz="6" w:space="0"/>
              <w:bottom w:val="single" w:color="000000" w:sz="6" w:space="0"/>
              <w:right w:val="single" w:color="000000" w:sz="6" w:space="0"/>
            </w:tcBorders>
            <w:vAlign w:val="center"/>
          </w:tcPr>
          <w:p>
            <w:pPr>
              <w:pStyle w:val="50"/>
              <w:wordWrap w:val="0"/>
              <w:spacing w:before="46"/>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联合体投标时提供联合体协议书</w:t>
            </w:r>
          </w:p>
        </w:tc>
        <w:tc>
          <w:tcPr>
            <w:tcW w:w="2507"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由联合体各方法定代表人或其委托代理人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bCs/>
                <w:sz w:val="21"/>
                <w:szCs w:val="21"/>
              </w:rPr>
              <w:t>并加盖公章的联合体协议书（附件八）</w:t>
            </w:r>
          </w:p>
        </w:tc>
        <w:tc>
          <w:tcPr>
            <w:tcW w:w="1744" w:type="dxa"/>
            <w:tcBorders>
              <w:left w:val="single" w:color="000000" w:sz="6" w:space="0"/>
              <w:bottom w:val="single" w:color="000000" w:sz="6" w:space="0"/>
              <w:right w:val="single" w:color="000000" w:sz="6" w:space="0"/>
            </w:tcBorders>
            <w:vAlign w:val="center"/>
          </w:tcPr>
          <w:p>
            <w:pPr>
              <w:pStyle w:val="50"/>
              <w:wordWrap w:val="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上传电子扫描件或在投标文件制作工具内制作并签章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7" w:hRule="atLeast"/>
        </w:trPr>
        <w:tc>
          <w:tcPr>
            <w:tcW w:w="1925" w:type="dxa"/>
            <w:gridSpan w:val="2"/>
            <w:tcBorders>
              <w:top w:val="single" w:color="000000" w:sz="6" w:space="0"/>
              <w:left w:val="single" w:color="000000" w:sz="6" w:space="0"/>
              <w:bottom w:val="single" w:color="000000" w:sz="6" w:space="0"/>
              <w:right w:val="single" w:color="000000" w:sz="6" w:space="0"/>
            </w:tcBorders>
            <w:vAlign w:val="center"/>
          </w:tcPr>
          <w:p>
            <w:pPr>
              <w:pStyle w:val="50"/>
              <w:spacing w:before="15"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最终结论</w:t>
            </w:r>
          </w:p>
        </w:tc>
        <w:tc>
          <w:tcPr>
            <w:tcW w:w="3503" w:type="dxa"/>
            <w:tcBorders>
              <w:top w:val="single" w:color="000000" w:sz="6" w:space="0"/>
              <w:left w:val="single" w:color="000000" w:sz="6" w:space="0"/>
              <w:bottom w:val="single" w:color="000000" w:sz="6" w:space="0"/>
              <w:right w:val="nil"/>
            </w:tcBorders>
            <w:vAlign w:val="center"/>
          </w:tcPr>
          <w:p>
            <w:pPr>
              <w:pStyle w:val="50"/>
              <w:spacing w:before="15"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w:t>
            </w:r>
          </w:p>
        </w:tc>
        <w:tc>
          <w:tcPr>
            <w:tcW w:w="2507" w:type="dxa"/>
            <w:tcBorders>
              <w:top w:val="single" w:color="000000" w:sz="6" w:space="0"/>
              <w:left w:val="nil"/>
              <w:bottom w:val="single" w:color="000000" w:sz="6" w:space="0"/>
              <w:right w:val="single" w:color="000000" w:sz="6" w:space="0"/>
            </w:tcBorders>
            <w:vAlign w:val="center"/>
          </w:tcPr>
          <w:p>
            <w:pPr>
              <w:pStyle w:val="50"/>
              <w:spacing w:before="15"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□不符合</w:t>
            </w:r>
          </w:p>
        </w:tc>
        <w:tc>
          <w:tcPr>
            <w:tcW w:w="1744" w:type="dxa"/>
            <w:tcBorders>
              <w:top w:val="single" w:color="000000" w:sz="6" w:space="0"/>
              <w:left w:val="single" w:color="000000" w:sz="6" w:space="0"/>
              <w:bottom w:val="single" w:color="000000" w:sz="6" w:space="0"/>
              <w:right w:val="single" w:color="000000" w:sz="6" w:space="0"/>
            </w:tcBorders>
            <w:vAlign w:val="center"/>
          </w:tcPr>
          <w:p>
            <w:pPr>
              <w:pStyle w:val="50"/>
              <w:spacing w:line="360" w:lineRule="exact"/>
              <w:jc w:val="center"/>
              <w:rPr>
                <w:rFonts w:asciiTheme="minorEastAsia" w:hAnsiTheme="minorEastAsia" w:eastAsiaTheme="minorEastAsia" w:cstheme="minorEastAsia"/>
                <w:sz w:val="21"/>
                <w:szCs w:val="21"/>
              </w:rPr>
            </w:pPr>
          </w:p>
        </w:tc>
      </w:tr>
    </w:tbl>
    <w:p>
      <w:pPr>
        <w:pStyle w:val="16"/>
        <w:spacing w:before="6"/>
        <w:rPr>
          <w:rFonts w:asciiTheme="minorEastAsia" w:hAnsiTheme="minorEastAsia" w:eastAsiaTheme="minorEastAsia" w:cstheme="minorEastAsia"/>
          <w:b/>
        </w:rPr>
      </w:pPr>
    </w:p>
    <w:p>
      <w:pPr>
        <w:spacing w:line="360" w:lineRule="auto"/>
        <w:ind w:firstLine="420" w:firstLineChars="200"/>
        <w:rPr>
          <w:sz w:val="21"/>
          <w:szCs w:val="21"/>
        </w:rPr>
      </w:pPr>
      <w:r>
        <w:rPr>
          <w:rFonts w:hint="eastAsia"/>
          <w:sz w:val="21"/>
          <w:szCs w:val="21"/>
        </w:rPr>
        <w:t>备注：</w:t>
      </w:r>
    </w:p>
    <w:p>
      <w:pPr>
        <w:spacing w:line="360" w:lineRule="auto"/>
        <w:ind w:firstLine="420" w:firstLineChars="200"/>
        <w:rPr>
          <w:sz w:val="21"/>
          <w:szCs w:val="21"/>
        </w:rPr>
      </w:pPr>
      <w:r>
        <w:rPr>
          <w:rFonts w:hint="eastAsia"/>
          <w:sz w:val="21"/>
          <w:szCs w:val="21"/>
        </w:rPr>
        <w:t>（</w:t>
      </w:r>
      <w:r>
        <w:rPr>
          <w:rFonts w:hint="eastAsia"/>
          <w:sz w:val="21"/>
          <w:szCs w:val="21"/>
          <w:lang w:val="en-US"/>
        </w:rPr>
        <w:t>1）</w:t>
      </w:r>
      <w:r>
        <w:rPr>
          <w:rFonts w:hint="eastAsia"/>
          <w:sz w:val="21"/>
          <w:szCs w:val="21"/>
        </w:rPr>
        <w:t>以上全部内容为投标人资格必备基本条件，其中有一项不符合即为不合格投标人；</w:t>
      </w:r>
    </w:p>
    <w:p>
      <w:pPr>
        <w:spacing w:line="360" w:lineRule="auto"/>
        <w:ind w:firstLine="420" w:firstLineChars="200"/>
        <w:rPr>
          <w:sz w:val="21"/>
          <w:szCs w:val="21"/>
        </w:rPr>
        <w:sectPr>
          <w:pgSz w:w="11906" w:h="16838"/>
          <w:pgMar w:top="1440" w:right="1800" w:bottom="1440" w:left="1800" w:header="720" w:footer="850" w:gutter="0"/>
          <w:cols w:space="0" w:num="1"/>
          <w:docGrid w:linePitch="326" w:charSpace="0"/>
        </w:sectPr>
      </w:pPr>
      <w:r>
        <w:rPr>
          <w:rFonts w:hint="eastAsia"/>
          <w:sz w:val="21"/>
          <w:szCs w:val="21"/>
        </w:rPr>
        <w:t>（</w:t>
      </w:r>
      <w:r>
        <w:rPr>
          <w:rFonts w:hint="eastAsia"/>
          <w:sz w:val="21"/>
          <w:szCs w:val="21"/>
          <w:lang w:val="en-US"/>
        </w:rPr>
        <w:t>2）</w:t>
      </w:r>
      <w:r>
        <w:rPr>
          <w:rFonts w:hint="eastAsia"/>
          <w:sz w:val="21"/>
          <w:szCs w:val="21"/>
        </w:rPr>
        <w:t>投标人必须对所有提供的资料真实性负责，一旦发现有弄虚作假行的，取消其投标资格或中标资格。</w:t>
      </w:r>
      <w:bookmarkStart w:id="292" w:name="_Toc21480"/>
    </w:p>
    <w:p>
      <w:pPr>
        <w:pStyle w:val="7"/>
        <w:adjustRightInd w:val="0"/>
        <w:snapToGrid w:val="0"/>
        <w:spacing w:line="360" w:lineRule="auto"/>
        <w:ind w:left="0" w:firstLine="0"/>
        <w:jc w:val="center"/>
      </w:pPr>
      <w:bookmarkStart w:id="293" w:name="_Toc113958419"/>
      <w:bookmarkStart w:id="294" w:name="_Toc11855"/>
      <w:r>
        <w:rPr>
          <w:rFonts w:hint="eastAsia"/>
        </w:rPr>
        <w:t>（二）详细评审表</w:t>
      </w:r>
      <w:bookmarkEnd w:id="292"/>
      <w:bookmarkEnd w:id="293"/>
      <w:bookmarkEnd w:id="294"/>
    </w:p>
    <w:tbl>
      <w:tblPr>
        <w:tblStyle w:val="47"/>
        <w:tblW w:w="93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6"/>
        <w:gridCol w:w="1141"/>
        <w:gridCol w:w="1622"/>
        <w:gridCol w:w="5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3" w:hRule="atLeast"/>
          <w:jc w:val="center"/>
        </w:trPr>
        <w:tc>
          <w:tcPr>
            <w:tcW w:w="2207" w:type="dxa"/>
            <w:gridSpan w:val="2"/>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条款号</w:t>
            </w:r>
          </w:p>
        </w:tc>
        <w:tc>
          <w:tcPr>
            <w:tcW w:w="1622" w:type="dxa"/>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条款内容</w:t>
            </w:r>
          </w:p>
        </w:tc>
        <w:tc>
          <w:tcPr>
            <w:tcW w:w="5515" w:type="dxa"/>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编列内容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5" w:hRule="atLeast"/>
          <w:jc w:val="center"/>
        </w:trPr>
        <w:tc>
          <w:tcPr>
            <w:tcW w:w="2207" w:type="dxa"/>
            <w:gridSpan w:val="2"/>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2.2.1</w:t>
            </w:r>
          </w:p>
        </w:tc>
        <w:tc>
          <w:tcPr>
            <w:tcW w:w="1622" w:type="dxa"/>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分值构成</w:t>
            </w:r>
          </w:p>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(总分100分)</w:t>
            </w:r>
          </w:p>
        </w:tc>
        <w:tc>
          <w:tcPr>
            <w:tcW w:w="5515" w:type="dxa"/>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企业实力： 分</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技术服务能力： 分</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投标报价： 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31" w:hRule="atLeast"/>
          <w:jc w:val="center"/>
        </w:trPr>
        <w:tc>
          <w:tcPr>
            <w:tcW w:w="2207" w:type="dxa"/>
            <w:gridSpan w:val="2"/>
            <w:vMerge w:val="restart"/>
            <w:vAlign w:val="center"/>
          </w:tcPr>
          <w:p>
            <w:pPr>
              <w:pStyle w:val="5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2.2.2</w:t>
            </w:r>
          </w:p>
          <w:p>
            <w:pPr>
              <w:pStyle w:val="50"/>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2.2.3</w:t>
            </w:r>
          </w:p>
        </w:tc>
        <w:tc>
          <w:tcPr>
            <w:tcW w:w="1622" w:type="dxa"/>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参与商务报价评审的数量约定</w:t>
            </w:r>
          </w:p>
        </w:tc>
        <w:tc>
          <w:tcPr>
            <w:tcW w:w="5515" w:type="dxa"/>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商务报价评审是评标委员会对通过资格评审的各投标人的投标</w:t>
            </w:r>
            <w:r>
              <w:rPr>
                <w:rFonts w:hint="eastAsia" w:asciiTheme="minorEastAsia" w:hAnsiTheme="minorEastAsia" w:eastAsiaTheme="minorEastAsia" w:cstheme="minorEastAsia"/>
                <w:sz w:val="21"/>
                <w:szCs w:val="21"/>
                <w:lang w:val="en-US"/>
              </w:rPr>
              <w:t>报价</w:t>
            </w:r>
            <w:r>
              <w:rPr>
                <w:rFonts w:hint="eastAsia" w:asciiTheme="minorEastAsia" w:hAnsiTheme="minorEastAsia" w:eastAsiaTheme="minorEastAsia" w:cstheme="minorEastAsia"/>
                <w:sz w:val="21"/>
                <w:szCs w:val="21"/>
              </w:rPr>
              <w:t>进行评审，投标报价费率超过本工程最高限价费率的投标文件做废标处理。投标人不得恶意不计成本异常低价报价，否则视为商务评审不通过。本项目执行安徽省住房与城乡建设厅《关于进一步规范全省房屋建筑和市政基础设施工程招标投标活动的通知》（建市函〔2020〕1073号文）文件，投标施工报价低于招标控制价的</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%（招标控制价的</w:t>
            </w:r>
            <w:r>
              <w:rPr>
                <w:rFonts w:hint="eastAsia" w:asciiTheme="minorEastAsia" w:hAnsiTheme="minorEastAsia" w:eastAsiaTheme="minorEastAsia" w:cstheme="minorEastAsia"/>
                <w:sz w:val="21"/>
                <w:szCs w:val="21"/>
                <w:lang w:val="en-US" w:eastAsia="zh-CN"/>
              </w:rPr>
              <w:t xml:space="preserve">  </w:t>
            </w:r>
            <w:r>
              <w:rPr>
                <w:rFonts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为施工</w:t>
            </w:r>
            <w:r>
              <w:t>费率</w:t>
            </w:r>
            <w:r>
              <w:rPr>
                <w:rFonts w:hint="eastAsia"/>
                <w:lang w:val="en-US" w:eastAsia="zh-CN"/>
              </w:rPr>
              <w:t xml:space="preserve">  </w:t>
            </w:r>
            <w:r>
              <w:rPr>
                <w:rFonts w:hint="eastAsia"/>
              </w:rPr>
              <w:t>%</w:t>
            </w:r>
            <w:r>
              <w:rPr>
                <w:rFonts w:hint="eastAsia" w:asciiTheme="minorEastAsia" w:hAnsiTheme="minorEastAsia" w:eastAsiaTheme="minorEastAsia" w:cstheme="minorEastAsia"/>
                <w:sz w:val="21"/>
                <w:szCs w:val="21"/>
              </w:rPr>
              <w:t>），视为异常低价。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46" w:hRule="atLeast"/>
          <w:jc w:val="center"/>
        </w:trPr>
        <w:tc>
          <w:tcPr>
            <w:tcW w:w="2207" w:type="dxa"/>
            <w:gridSpan w:val="2"/>
            <w:vMerge w:val="continue"/>
            <w:tcBorders>
              <w:top w:val="nil"/>
            </w:tcBorders>
          </w:tcPr>
          <w:p>
            <w:pPr>
              <w:spacing w:line="360" w:lineRule="exact"/>
              <w:rPr>
                <w:rFonts w:asciiTheme="minorEastAsia" w:hAnsiTheme="minorEastAsia" w:eastAsiaTheme="minorEastAsia" w:cstheme="minorEastAsia"/>
                <w:sz w:val="21"/>
                <w:szCs w:val="21"/>
              </w:rPr>
            </w:pPr>
          </w:p>
        </w:tc>
        <w:tc>
          <w:tcPr>
            <w:tcW w:w="1622" w:type="dxa"/>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评标基准价计算方法</w:t>
            </w:r>
          </w:p>
        </w:tc>
        <w:tc>
          <w:tcPr>
            <w:tcW w:w="5515" w:type="dxa"/>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评标基准价D的确定：参与商务标评审的投标人投标报价的算术平均值。</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注：1）D分别按上述规定算取，并按2.2.4（3）条款计算商务报价得分；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2" w:hRule="atLeast"/>
          <w:jc w:val="center"/>
        </w:trPr>
        <w:tc>
          <w:tcPr>
            <w:tcW w:w="2207" w:type="dxa"/>
            <w:gridSpan w:val="2"/>
            <w:tcBorders>
              <w:bottom w:val="single" w:color="000000" w:sz="8" w:space="0"/>
            </w:tcBorders>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条款号</w:t>
            </w:r>
          </w:p>
        </w:tc>
        <w:tc>
          <w:tcPr>
            <w:tcW w:w="1622" w:type="dxa"/>
            <w:tcBorders>
              <w:bottom w:val="single" w:color="000000" w:sz="8" w:space="0"/>
            </w:tcBorders>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评分因素</w:t>
            </w:r>
          </w:p>
        </w:tc>
        <w:tc>
          <w:tcPr>
            <w:tcW w:w="5515" w:type="dxa"/>
            <w:tcBorders>
              <w:bottom w:val="single" w:color="000000" w:sz="8" w:space="0"/>
            </w:tcBorders>
            <w:vAlign w:val="center"/>
          </w:tcPr>
          <w:p>
            <w:pPr>
              <w:pStyle w:val="5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64" w:hRule="atLeast"/>
          <w:jc w:val="center"/>
        </w:trPr>
        <w:tc>
          <w:tcPr>
            <w:tcW w:w="1066" w:type="dxa"/>
            <w:vMerge w:val="restart"/>
            <w:vAlign w:val="center"/>
          </w:tcPr>
          <w:p>
            <w:pPr>
              <w:pStyle w:val="50"/>
              <w:spacing w:before="44" w:line="360" w:lineRule="exact"/>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2.2.4（1）</w:t>
            </w:r>
          </w:p>
        </w:tc>
        <w:tc>
          <w:tcPr>
            <w:tcW w:w="1141" w:type="dxa"/>
            <w:vMerge w:val="restart"/>
            <w:vAlign w:val="center"/>
          </w:tcPr>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企业实力</w:t>
            </w:r>
          </w:p>
          <w:p>
            <w:pPr>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评分标准</w:t>
            </w:r>
          </w:p>
        </w:tc>
        <w:tc>
          <w:tcPr>
            <w:tcW w:w="1622" w:type="dxa"/>
            <w:tcBorders>
              <w:top w:val="single" w:color="000000" w:sz="8" w:space="0"/>
            </w:tcBorders>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企业资质（ 分）</w:t>
            </w:r>
          </w:p>
        </w:tc>
        <w:tc>
          <w:tcPr>
            <w:tcW w:w="5515" w:type="dxa"/>
            <w:tcBorders>
              <w:top w:val="single" w:color="000000" w:sz="8" w:space="0"/>
            </w:tcBorders>
            <w:vAlign w:val="center"/>
          </w:tcPr>
          <w:p>
            <w:pPr>
              <w:spacing w:line="360" w:lineRule="exact"/>
              <w:ind w:firstLine="210" w:firstLineChars="1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jc w:val="center"/>
        </w:trPr>
        <w:tc>
          <w:tcPr>
            <w:tcW w:w="1066" w:type="dxa"/>
            <w:vMerge w:val="continue"/>
            <w:vAlign w:val="center"/>
          </w:tcPr>
          <w:p>
            <w:pPr>
              <w:pStyle w:val="50"/>
              <w:spacing w:before="44" w:line="360" w:lineRule="exact"/>
              <w:jc w:val="center"/>
              <w:rPr>
                <w:rFonts w:asciiTheme="minorEastAsia" w:hAnsiTheme="minorEastAsia" w:eastAsiaTheme="minorEastAsia" w:cstheme="minorEastAsia"/>
                <w:sz w:val="21"/>
                <w:szCs w:val="21"/>
                <w:lang w:val="en-US"/>
              </w:rPr>
            </w:pPr>
          </w:p>
        </w:tc>
        <w:tc>
          <w:tcPr>
            <w:tcW w:w="1141" w:type="dxa"/>
            <w:vMerge w:val="continue"/>
            <w:vAlign w:val="center"/>
          </w:tcPr>
          <w:p>
            <w:pPr>
              <w:pStyle w:val="50"/>
              <w:spacing w:before="12" w:line="360" w:lineRule="exact"/>
              <w:jc w:val="center"/>
              <w:rPr>
                <w:rFonts w:asciiTheme="minorEastAsia" w:hAnsiTheme="minorEastAsia" w:eastAsiaTheme="minorEastAsia" w:cstheme="minorEastAsia"/>
                <w:sz w:val="21"/>
                <w:szCs w:val="21"/>
                <w:lang w:val="en-US"/>
              </w:rPr>
            </w:pPr>
          </w:p>
        </w:tc>
        <w:tc>
          <w:tcPr>
            <w:tcW w:w="1622" w:type="dxa"/>
            <w:tcBorders>
              <w:top w:val="single" w:color="000000" w:sz="8" w:space="0"/>
            </w:tcBorders>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企业奖项（ 分）</w:t>
            </w:r>
          </w:p>
        </w:tc>
        <w:tc>
          <w:tcPr>
            <w:tcW w:w="5515" w:type="dxa"/>
            <w:tcBorders>
              <w:top w:val="single" w:color="000000" w:sz="8" w:space="0"/>
            </w:tcBorders>
          </w:tcPr>
          <w:p>
            <w:pPr>
              <w:widowControl/>
              <w:rPr>
                <w:rFonts w:asciiTheme="minorEastAsia" w:hAnsiTheme="minorEastAsia" w:eastAsiaTheme="minorEastAsia" w:cstheme="minorEastAsia"/>
                <w:sz w:val="21"/>
                <w:szCs w:val="21"/>
                <w:lang w:val="en-US"/>
              </w:rPr>
            </w:pPr>
            <w:r>
              <w:rPr>
                <w:rFonts w:hint="eastAsia"/>
                <w:sz w:val="21"/>
                <w:szCs w:val="21"/>
                <w:lang w:val="en-US"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jc w:val="center"/>
        </w:trPr>
        <w:tc>
          <w:tcPr>
            <w:tcW w:w="1066" w:type="dxa"/>
            <w:vMerge w:val="continue"/>
            <w:vAlign w:val="center"/>
          </w:tcPr>
          <w:p>
            <w:pPr>
              <w:pStyle w:val="50"/>
              <w:spacing w:before="44" w:line="360" w:lineRule="exact"/>
              <w:jc w:val="center"/>
              <w:rPr>
                <w:rFonts w:asciiTheme="minorEastAsia" w:hAnsiTheme="minorEastAsia" w:eastAsiaTheme="minorEastAsia" w:cstheme="minorEastAsia"/>
                <w:sz w:val="21"/>
                <w:szCs w:val="21"/>
                <w:lang w:val="en-US"/>
              </w:rPr>
            </w:pPr>
          </w:p>
        </w:tc>
        <w:tc>
          <w:tcPr>
            <w:tcW w:w="1141" w:type="dxa"/>
            <w:vMerge w:val="continue"/>
            <w:vAlign w:val="center"/>
          </w:tcPr>
          <w:p>
            <w:pPr>
              <w:pStyle w:val="50"/>
              <w:spacing w:before="12" w:line="360" w:lineRule="exact"/>
              <w:jc w:val="center"/>
              <w:rPr>
                <w:rFonts w:asciiTheme="minorEastAsia" w:hAnsiTheme="minorEastAsia" w:eastAsiaTheme="minorEastAsia" w:cstheme="minorEastAsia"/>
                <w:sz w:val="21"/>
                <w:szCs w:val="21"/>
                <w:lang w:val="en-US"/>
              </w:rPr>
            </w:pPr>
          </w:p>
        </w:tc>
        <w:tc>
          <w:tcPr>
            <w:tcW w:w="1622" w:type="dxa"/>
            <w:tcBorders>
              <w:top w:val="single" w:color="000000" w:sz="8" w:space="0"/>
            </w:tcBorders>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企业业绩（</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分）</w:t>
            </w:r>
          </w:p>
        </w:tc>
        <w:tc>
          <w:tcPr>
            <w:tcW w:w="5515" w:type="dxa"/>
            <w:tcBorders>
              <w:top w:val="single" w:color="000000" w:sz="8" w:space="0"/>
            </w:tcBorders>
          </w:tcPr>
          <w:p>
            <w:pPr>
              <w:spacing w:line="360" w:lineRule="exact"/>
              <w:rPr>
                <w:lang w:val="en-US"/>
              </w:rPr>
            </w:pPr>
            <w:r>
              <w:rPr>
                <w:rFonts w:hint="eastAsia" w:asciiTheme="minorEastAsia" w:hAnsiTheme="minorEastAsia" w:eastAsiaTheme="minorEastAsia" w:cstheme="minorEastAsia"/>
                <w:sz w:val="21"/>
                <w:szCs w:val="21"/>
                <w:lang w:val="en-US"/>
              </w:rPr>
              <w:t xml:space="preserve"> </w:t>
            </w:r>
            <w:r>
              <w:rPr>
                <w:rFonts w:hint="eastAsia" w:ascii="Times New Roman"/>
                <w:sz w:val="21"/>
                <w:szCs w:val="24"/>
                <w:lang w:val="en-U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jc w:val="center"/>
        </w:trPr>
        <w:tc>
          <w:tcPr>
            <w:tcW w:w="1066" w:type="dxa"/>
            <w:vMerge w:val="continue"/>
            <w:vAlign w:val="center"/>
          </w:tcPr>
          <w:p>
            <w:pPr>
              <w:pStyle w:val="50"/>
              <w:spacing w:before="44" w:line="360" w:lineRule="exact"/>
              <w:jc w:val="center"/>
              <w:rPr>
                <w:rFonts w:asciiTheme="minorEastAsia" w:hAnsiTheme="minorEastAsia" w:eastAsiaTheme="minorEastAsia" w:cstheme="minorEastAsia"/>
                <w:sz w:val="21"/>
                <w:szCs w:val="21"/>
                <w:lang w:val="en-US"/>
              </w:rPr>
            </w:pPr>
          </w:p>
        </w:tc>
        <w:tc>
          <w:tcPr>
            <w:tcW w:w="1141" w:type="dxa"/>
            <w:vMerge w:val="continue"/>
            <w:vAlign w:val="center"/>
          </w:tcPr>
          <w:p>
            <w:pPr>
              <w:pStyle w:val="50"/>
              <w:spacing w:before="12" w:line="360" w:lineRule="exact"/>
              <w:jc w:val="center"/>
              <w:rPr>
                <w:rFonts w:asciiTheme="minorEastAsia" w:hAnsiTheme="minorEastAsia" w:eastAsiaTheme="minorEastAsia" w:cstheme="minorEastAsia"/>
                <w:sz w:val="21"/>
                <w:szCs w:val="21"/>
                <w:lang w:val="en-US"/>
              </w:rPr>
            </w:pPr>
          </w:p>
        </w:tc>
        <w:tc>
          <w:tcPr>
            <w:tcW w:w="1622" w:type="dxa"/>
            <w:tcBorders>
              <w:top w:val="single" w:color="000000" w:sz="8" w:space="0"/>
            </w:tcBorders>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企业荣誉</w:t>
            </w:r>
          </w:p>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分）</w:t>
            </w:r>
          </w:p>
        </w:tc>
        <w:tc>
          <w:tcPr>
            <w:tcW w:w="5515" w:type="dxa"/>
            <w:tcBorders>
              <w:top w:val="single" w:color="000000" w:sz="8" w:space="0"/>
            </w:tcBorders>
          </w:tcPr>
          <w:p>
            <w:pPr>
              <w:widowControl/>
              <w:rPr>
                <w:lang w:val="en-US" w:bidi="ar"/>
              </w:rPr>
            </w:pPr>
            <w:r>
              <w:rPr>
                <w:rFonts w:hint="eastAsia"/>
                <w:lang w:val="en-US"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jc w:val="center"/>
        </w:trPr>
        <w:tc>
          <w:tcPr>
            <w:tcW w:w="1066" w:type="dxa"/>
            <w:vMerge w:val="continue"/>
            <w:vAlign w:val="center"/>
          </w:tcPr>
          <w:p>
            <w:pPr>
              <w:pStyle w:val="50"/>
              <w:spacing w:before="44" w:line="360" w:lineRule="exact"/>
              <w:jc w:val="center"/>
              <w:rPr>
                <w:rFonts w:asciiTheme="minorEastAsia" w:hAnsiTheme="minorEastAsia" w:eastAsiaTheme="minorEastAsia" w:cstheme="minorEastAsia"/>
                <w:sz w:val="21"/>
                <w:szCs w:val="21"/>
                <w:lang w:val="en-US"/>
              </w:rPr>
            </w:pPr>
          </w:p>
        </w:tc>
        <w:tc>
          <w:tcPr>
            <w:tcW w:w="1141" w:type="dxa"/>
            <w:vMerge w:val="continue"/>
            <w:vAlign w:val="center"/>
          </w:tcPr>
          <w:p>
            <w:pPr>
              <w:pStyle w:val="50"/>
              <w:spacing w:before="12" w:line="360" w:lineRule="exact"/>
              <w:jc w:val="center"/>
              <w:rPr>
                <w:rFonts w:asciiTheme="minorEastAsia" w:hAnsiTheme="minorEastAsia" w:eastAsiaTheme="minorEastAsia" w:cstheme="minorEastAsia"/>
                <w:sz w:val="21"/>
                <w:szCs w:val="21"/>
                <w:lang w:val="en-US"/>
              </w:rPr>
            </w:pPr>
          </w:p>
        </w:tc>
        <w:tc>
          <w:tcPr>
            <w:tcW w:w="1622" w:type="dxa"/>
            <w:vMerge w:val="restart"/>
            <w:tcBorders>
              <w:top w:val="single" w:color="000000" w:sz="8" w:space="0"/>
            </w:tcBorders>
            <w:vAlign w:val="center"/>
          </w:tcPr>
          <w:p>
            <w:pPr>
              <w:spacing w:line="36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项目管理机构（</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分）</w:t>
            </w:r>
          </w:p>
        </w:tc>
        <w:tc>
          <w:tcPr>
            <w:tcW w:w="5515" w:type="dxa"/>
            <w:tcBorders>
              <w:top w:val="single" w:color="000000" w:sz="8" w:space="0"/>
            </w:tcBorders>
          </w:tcPr>
          <w:p>
            <w:pPr>
              <w:spacing w:line="360" w:lineRule="exact"/>
              <w:rPr>
                <w:lang w:val="en-US"/>
              </w:rPr>
            </w:pPr>
            <w:r>
              <w:rPr>
                <w:rFonts w:hint="eastAsia" w:asciiTheme="minorEastAsia" w:hAnsiTheme="minorEastAsia" w:eastAsiaTheme="minorEastAsia" w:cstheme="minorEastAsia"/>
                <w:lang w:val="en-U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3" w:hRule="atLeast"/>
          <w:jc w:val="center"/>
        </w:trPr>
        <w:tc>
          <w:tcPr>
            <w:tcW w:w="1066" w:type="dxa"/>
            <w:vMerge w:val="continue"/>
            <w:vAlign w:val="center"/>
          </w:tcPr>
          <w:p>
            <w:pPr>
              <w:pStyle w:val="50"/>
              <w:spacing w:before="44" w:line="360" w:lineRule="exact"/>
              <w:jc w:val="center"/>
              <w:rPr>
                <w:rFonts w:asciiTheme="minorEastAsia" w:hAnsiTheme="minorEastAsia" w:eastAsiaTheme="minorEastAsia" w:cstheme="minorEastAsia"/>
                <w:sz w:val="21"/>
                <w:szCs w:val="21"/>
                <w:lang w:val="en-US"/>
              </w:rPr>
            </w:pPr>
          </w:p>
        </w:tc>
        <w:tc>
          <w:tcPr>
            <w:tcW w:w="1141" w:type="dxa"/>
            <w:vMerge w:val="continue"/>
            <w:vAlign w:val="center"/>
          </w:tcPr>
          <w:p>
            <w:pPr>
              <w:pStyle w:val="50"/>
              <w:spacing w:before="12" w:line="360" w:lineRule="exact"/>
              <w:jc w:val="center"/>
              <w:rPr>
                <w:rFonts w:asciiTheme="minorEastAsia" w:hAnsiTheme="minorEastAsia" w:eastAsiaTheme="minorEastAsia" w:cstheme="minorEastAsia"/>
                <w:sz w:val="21"/>
                <w:szCs w:val="21"/>
                <w:lang w:val="en-US"/>
              </w:rPr>
            </w:pPr>
          </w:p>
        </w:tc>
        <w:tc>
          <w:tcPr>
            <w:tcW w:w="1622" w:type="dxa"/>
            <w:vMerge w:val="continue"/>
            <w:vAlign w:val="center"/>
          </w:tcPr>
          <w:p>
            <w:pPr>
              <w:spacing w:line="360" w:lineRule="exact"/>
              <w:rPr>
                <w:rFonts w:asciiTheme="minorEastAsia" w:hAnsiTheme="minorEastAsia" w:eastAsiaTheme="minorEastAsia" w:cstheme="minorEastAsia"/>
                <w:sz w:val="21"/>
                <w:szCs w:val="21"/>
              </w:rPr>
            </w:pPr>
          </w:p>
        </w:tc>
        <w:tc>
          <w:tcPr>
            <w:tcW w:w="5515" w:type="dxa"/>
            <w:tcBorders>
              <w:top w:val="single" w:color="000000" w:sz="8" w:space="0"/>
            </w:tcBorders>
          </w:tcPr>
          <w:p>
            <w:pPr>
              <w:widowControl/>
              <w:rPr>
                <w:rFonts w:asciiTheme="minorEastAsia" w:hAnsiTheme="minorEastAsia" w:eastAsiaTheme="minorEastAsia" w:cstheme="minorEastAsia"/>
                <w:lang w:val="en-US"/>
              </w:rPr>
            </w:pPr>
            <w:r>
              <w:rPr>
                <w:rFonts w:hint="eastAsia"/>
                <w:lang w:val="en-US"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2" w:hRule="atLeast"/>
          <w:jc w:val="center"/>
        </w:trPr>
        <w:tc>
          <w:tcPr>
            <w:tcW w:w="1066" w:type="dxa"/>
            <w:vMerge w:val="restart"/>
            <w:tcBorders>
              <w:top w:val="single" w:color="000000" w:sz="8" w:space="0"/>
            </w:tcBorders>
            <w:vAlign w:val="center"/>
          </w:tcPr>
          <w:p>
            <w:pPr>
              <w:pStyle w:val="50"/>
              <w:spacing w:before="44"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2.2.4（</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w:t>
            </w:r>
          </w:p>
        </w:tc>
        <w:tc>
          <w:tcPr>
            <w:tcW w:w="1141" w:type="dxa"/>
            <w:vMerge w:val="restart"/>
            <w:tcBorders>
              <w:top w:val="single" w:color="000000" w:sz="8" w:space="0"/>
            </w:tcBorders>
            <w:vAlign w:val="center"/>
          </w:tcPr>
          <w:p>
            <w:pPr>
              <w:pStyle w:val="50"/>
              <w:spacing w:before="12" w:line="360" w:lineRule="exact"/>
              <w:jc w:val="center"/>
              <w:rPr>
                <w:rFonts w:asciiTheme="minorEastAsia" w:hAnsiTheme="minorEastAsia" w:eastAsiaTheme="minorEastAsia" w:cstheme="minorEastAsia"/>
                <w:sz w:val="21"/>
                <w:szCs w:val="21"/>
                <w:lang w:val="en-US"/>
              </w:rPr>
            </w:pPr>
            <w:r>
              <w:rPr>
                <w:rFonts w:hint="eastAsia"/>
                <w:sz w:val="21"/>
                <w:szCs w:val="21"/>
                <w:lang w:val="en-US"/>
              </w:rPr>
              <w:t>设计实施方案评分标准（ 分）</w:t>
            </w:r>
          </w:p>
        </w:tc>
        <w:tc>
          <w:tcPr>
            <w:tcW w:w="1622" w:type="dxa"/>
            <w:tcBorders>
              <w:top w:val="single" w:color="000000" w:sz="8" w:space="0"/>
            </w:tcBorders>
            <w:vAlign w:val="center"/>
          </w:tcPr>
          <w:p>
            <w:pPr>
              <w:rPr>
                <w:sz w:val="21"/>
                <w:szCs w:val="21"/>
                <w:lang w:val="en-US"/>
              </w:rPr>
            </w:pPr>
            <w:r>
              <w:rPr>
                <w:rFonts w:hint="eastAsia"/>
              </w:rPr>
              <w:t>设计概述</w:t>
            </w:r>
            <w:r>
              <w:rPr>
                <w:rFonts w:hint="eastAsia"/>
                <w:lang w:val="en-US"/>
              </w:rPr>
              <w:t>及</w:t>
            </w:r>
            <w:r>
              <w:rPr>
                <w:rFonts w:hint="eastAsia"/>
              </w:rPr>
              <w:t xml:space="preserve">技术难点及新技术 </w:t>
            </w:r>
          </w:p>
        </w:tc>
        <w:tc>
          <w:tcPr>
            <w:tcW w:w="5515" w:type="dxa"/>
            <w:tcBorders>
              <w:top w:val="single" w:color="000000" w:sz="8" w:space="0"/>
            </w:tcBorders>
            <w:vAlign w:val="center"/>
          </w:tcPr>
          <w:p>
            <w:pPr>
              <w:rPr>
                <w:sz w:val="21"/>
                <w:szCs w:val="21"/>
                <w:lang w:val="en-US"/>
              </w:rPr>
            </w:pPr>
            <w:r>
              <w:rPr>
                <w:rFonts w:hint="eastAsi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6" w:type="dxa"/>
            <w:vMerge w:val="continue"/>
          </w:tcPr>
          <w:p>
            <w:pPr>
              <w:spacing w:line="360" w:lineRule="exact"/>
              <w:rPr>
                <w:rFonts w:asciiTheme="minorEastAsia" w:hAnsiTheme="minorEastAsia" w:eastAsiaTheme="minorEastAsia" w:cstheme="minorEastAsia"/>
                <w:sz w:val="21"/>
                <w:szCs w:val="21"/>
              </w:rPr>
            </w:pPr>
          </w:p>
        </w:tc>
        <w:tc>
          <w:tcPr>
            <w:tcW w:w="1141" w:type="dxa"/>
            <w:vMerge w:val="continue"/>
          </w:tcPr>
          <w:p>
            <w:pPr>
              <w:widowControl/>
              <w:jc w:val="center"/>
              <w:rPr>
                <w:rFonts w:asciiTheme="minorEastAsia" w:hAnsiTheme="minorEastAsia" w:eastAsiaTheme="minorEastAsia" w:cstheme="minorEastAsia"/>
                <w:sz w:val="21"/>
                <w:szCs w:val="21"/>
              </w:rPr>
            </w:pPr>
          </w:p>
        </w:tc>
        <w:tc>
          <w:tcPr>
            <w:tcW w:w="1622" w:type="dxa"/>
            <w:vAlign w:val="center"/>
          </w:tcPr>
          <w:p>
            <w:pPr>
              <w:rPr>
                <w:lang w:val="en-US"/>
              </w:rPr>
            </w:pPr>
            <w:r>
              <w:rPr>
                <w:rFonts w:hint="eastAsia"/>
              </w:rPr>
              <w:t>设计</w:t>
            </w:r>
            <w:r>
              <w:rPr>
                <w:rFonts w:hint="eastAsia"/>
                <w:lang w:val="en-US"/>
              </w:rPr>
              <w:t>投资控制、</w:t>
            </w:r>
            <w:r>
              <w:rPr>
                <w:rFonts w:hint="eastAsia"/>
              </w:rPr>
              <w:t>质量、进度等管理</w:t>
            </w:r>
            <w:r>
              <w:rPr>
                <w:rFonts w:hint="eastAsia"/>
                <w:lang w:val="en-US"/>
              </w:rPr>
              <w:t>控制措施</w:t>
            </w:r>
            <w:r>
              <w:rPr>
                <w:rFonts w:hint="eastAsia"/>
              </w:rPr>
              <w:t>（</w:t>
            </w:r>
            <w:r>
              <w:rPr>
                <w:rFonts w:hint="eastAsia"/>
                <w:lang w:val="en-US"/>
              </w:rPr>
              <w:t xml:space="preserve"> </w:t>
            </w:r>
            <w:r>
              <w:rPr>
                <w:rFonts w:hint="eastAsia"/>
              </w:rPr>
              <w:t>分）</w:t>
            </w:r>
          </w:p>
        </w:tc>
        <w:tc>
          <w:tcPr>
            <w:tcW w:w="5515" w:type="dxa"/>
          </w:tcPr>
          <w:p>
            <w:pPr>
              <w:rPr>
                <w:sz w:val="21"/>
                <w:szCs w:val="21"/>
                <w:lang w:val="en-US"/>
              </w:rPr>
            </w:pPr>
            <w:r>
              <w:rPr>
                <w:rFonts w:hint="eastAsi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4" w:hRule="atLeast"/>
          <w:jc w:val="center"/>
        </w:trPr>
        <w:tc>
          <w:tcPr>
            <w:tcW w:w="1066" w:type="dxa"/>
            <w:vMerge w:val="continue"/>
          </w:tcPr>
          <w:p>
            <w:pPr>
              <w:spacing w:line="360" w:lineRule="exact"/>
              <w:rPr>
                <w:rFonts w:asciiTheme="minorEastAsia" w:hAnsiTheme="minorEastAsia" w:eastAsiaTheme="minorEastAsia" w:cstheme="minorEastAsia"/>
                <w:sz w:val="21"/>
                <w:szCs w:val="21"/>
              </w:rPr>
            </w:pPr>
          </w:p>
        </w:tc>
        <w:tc>
          <w:tcPr>
            <w:tcW w:w="1141" w:type="dxa"/>
            <w:vMerge w:val="continue"/>
          </w:tcPr>
          <w:p>
            <w:pPr>
              <w:widowControl/>
              <w:jc w:val="center"/>
              <w:rPr>
                <w:rFonts w:asciiTheme="minorEastAsia" w:hAnsiTheme="minorEastAsia" w:eastAsiaTheme="minorEastAsia" w:cstheme="minorEastAsia"/>
                <w:sz w:val="21"/>
                <w:szCs w:val="21"/>
              </w:rPr>
            </w:pPr>
          </w:p>
        </w:tc>
        <w:tc>
          <w:tcPr>
            <w:tcW w:w="1622" w:type="dxa"/>
            <w:vAlign w:val="center"/>
          </w:tcPr>
          <w:p>
            <w:pPr>
              <w:rPr>
                <w:lang w:val="en-US"/>
              </w:rPr>
            </w:pPr>
            <w:r>
              <w:rPr>
                <w:rFonts w:hint="eastAsia"/>
                <w:lang w:val="en-US"/>
              </w:rPr>
              <w:t>服务承诺及保证</w:t>
            </w:r>
          </w:p>
          <w:p>
            <w:pPr/>
            <w:r>
              <w:rPr>
                <w:rFonts w:hint="eastAsia"/>
                <w:lang w:val="en-US"/>
              </w:rPr>
              <w:t>措施（ 分）</w:t>
            </w:r>
          </w:p>
        </w:tc>
        <w:tc>
          <w:tcPr>
            <w:tcW w:w="5515" w:type="dxa"/>
          </w:tcPr>
          <w:p>
            <w:pPr/>
            <w:r>
              <w:rPr>
                <w:rFonts w:hint="eastAsia"/>
                <w:lang w:val="en-US"/>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6" w:type="dxa"/>
            <w:vMerge w:val="restart"/>
            <w:vAlign w:val="center"/>
          </w:tcPr>
          <w:p>
            <w:pPr>
              <w:pStyle w:val="50"/>
              <w:spacing w:line="360" w:lineRule="exact"/>
              <w:jc w:val="center"/>
              <w:rPr>
                <w:sz w:val="21"/>
                <w:szCs w:val="21"/>
              </w:rPr>
            </w:pPr>
            <w:r>
              <w:rPr>
                <w:rFonts w:hint="eastAsia"/>
                <w:sz w:val="21"/>
                <w:szCs w:val="21"/>
              </w:rPr>
              <w:t>2.2.4（3）</w:t>
            </w:r>
          </w:p>
          <w:p>
            <w:pPr>
              <w:spacing w:line="360" w:lineRule="exact"/>
              <w:rPr>
                <w:rFonts w:asciiTheme="minorEastAsia" w:hAnsiTheme="minorEastAsia" w:eastAsiaTheme="minorEastAsia" w:cstheme="minorEastAsia"/>
                <w:sz w:val="21"/>
                <w:szCs w:val="21"/>
              </w:rPr>
            </w:pPr>
          </w:p>
        </w:tc>
        <w:tc>
          <w:tcPr>
            <w:tcW w:w="1141" w:type="dxa"/>
            <w:vMerge w:val="restart"/>
            <w:vAlign w:val="center"/>
          </w:tcPr>
          <w:p>
            <w:pPr>
              <w:pStyle w:val="50"/>
              <w:spacing w:line="360" w:lineRule="exact"/>
              <w:jc w:val="center"/>
              <w:rPr>
                <w:sz w:val="21"/>
                <w:szCs w:val="21"/>
              </w:rPr>
            </w:pPr>
            <w:r>
              <w:rPr>
                <w:rFonts w:hint="eastAsia"/>
                <w:spacing w:val="-4"/>
                <w:sz w:val="21"/>
                <w:szCs w:val="21"/>
                <w:lang w:val="en-US"/>
              </w:rPr>
              <w:t>施工</w:t>
            </w:r>
            <w:r>
              <w:rPr>
                <w:rFonts w:hint="eastAsia"/>
                <w:sz w:val="21"/>
                <w:szCs w:val="21"/>
                <w:lang w:val="en-US"/>
              </w:rPr>
              <w:t>实施</w:t>
            </w:r>
            <w:r>
              <w:rPr>
                <w:rFonts w:hint="eastAsia"/>
                <w:spacing w:val="-4"/>
                <w:sz w:val="21"/>
                <w:szCs w:val="21"/>
              </w:rPr>
              <w:t>方案评分标准</w:t>
            </w:r>
          </w:p>
          <w:p>
            <w:pPr>
              <w:pStyle w:val="50"/>
              <w:spacing w:before="1" w:line="360" w:lineRule="exact"/>
              <w:jc w:val="center"/>
              <w:rPr>
                <w:sz w:val="21"/>
                <w:szCs w:val="21"/>
              </w:rPr>
            </w:pPr>
            <w:r>
              <w:rPr>
                <w:rFonts w:hint="eastAsia"/>
                <w:sz w:val="21"/>
                <w:szCs w:val="21"/>
              </w:rPr>
              <w:t>（</w:t>
            </w:r>
            <w:r>
              <w:rPr>
                <w:rFonts w:hint="eastAsia"/>
                <w:sz w:val="21"/>
                <w:szCs w:val="21"/>
                <w:lang w:val="en-US"/>
              </w:rPr>
              <w:t>15</w:t>
            </w:r>
            <w:r>
              <w:rPr>
                <w:rFonts w:hint="eastAsia"/>
                <w:sz w:val="21"/>
                <w:szCs w:val="21"/>
              </w:rPr>
              <w:t>分）</w:t>
            </w:r>
          </w:p>
          <w:p>
            <w:pPr>
              <w:widowControl/>
              <w:jc w:val="center"/>
              <w:rPr>
                <w:rFonts w:asciiTheme="minorEastAsia" w:hAnsiTheme="minorEastAsia" w:eastAsiaTheme="minorEastAsia" w:cstheme="minorEastAsia"/>
                <w:sz w:val="21"/>
                <w:szCs w:val="21"/>
              </w:rPr>
            </w:pPr>
          </w:p>
        </w:tc>
        <w:tc>
          <w:tcPr>
            <w:tcW w:w="1622" w:type="dxa"/>
            <w:vAlign w:val="center"/>
          </w:tcPr>
          <w:p>
            <w:pPr>
              <w:jc w:val="both"/>
              <w:rPr>
                <w:sz w:val="21"/>
                <w:szCs w:val="21"/>
                <w:lang w:val="en-US"/>
              </w:rPr>
            </w:pPr>
            <w:r>
              <w:rPr>
                <w:sz w:val="21"/>
                <w:szCs w:val="21"/>
                <w:lang w:val="en-US"/>
              </w:rPr>
              <w:t>总体实施方案（</w:t>
            </w:r>
            <w:r>
              <w:rPr>
                <w:rFonts w:hint="eastAsia"/>
                <w:sz w:val="21"/>
                <w:szCs w:val="21"/>
                <w:lang w:val="en-US"/>
              </w:rPr>
              <w:t xml:space="preserve"> </w:t>
            </w:r>
            <w:r>
              <w:rPr>
                <w:sz w:val="21"/>
                <w:szCs w:val="21"/>
                <w:lang w:val="en-US"/>
              </w:rPr>
              <w:t>分）</w:t>
            </w:r>
          </w:p>
        </w:tc>
        <w:tc>
          <w:tcPr>
            <w:tcW w:w="5515" w:type="dxa"/>
            <w:vAlign w:val="center"/>
          </w:tcPr>
          <w:p>
            <w:pPr>
              <w:pStyle w:val="50"/>
              <w:spacing w:before="1"/>
              <w:jc w:val="both"/>
              <w:rPr>
                <w:sz w:val="21"/>
                <w:szCs w:val="21"/>
                <w:lang w:val="en-US"/>
              </w:rPr>
            </w:pPr>
            <w:r>
              <w:rPr>
                <w:rFonts w:hint="eastAsia"/>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6" w:type="dxa"/>
            <w:vMerge w:val="continue"/>
          </w:tcPr>
          <w:p>
            <w:pPr>
              <w:spacing w:line="360" w:lineRule="exact"/>
              <w:rPr>
                <w:rFonts w:asciiTheme="minorEastAsia" w:hAnsiTheme="minorEastAsia" w:eastAsiaTheme="minorEastAsia" w:cstheme="minorEastAsia"/>
                <w:sz w:val="21"/>
                <w:szCs w:val="21"/>
              </w:rPr>
            </w:pPr>
          </w:p>
        </w:tc>
        <w:tc>
          <w:tcPr>
            <w:tcW w:w="1141" w:type="dxa"/>
            <w:vMerge w:val="continue"/>
          </w:tcPr>
          <w:p>
            <w:pPr>
              <w:widowControl/>
              <w:jc w:val="center"/>
              <w:rPr>
                <w:rFonts w:asciiTheme="minorEastAsia" w:hAnsiTheme="minorEastAsia" w:eastAsiaTheme="minorEastAsia" w:cstheme="minorEastAsia"/>
                <w:sz w:val="21"/>
                <w:szCs w:val="21"/>
              </w:rPr>
            </w:pPr>
          </w:p>
        </w:tc>
        <w:tc>
          <w:tcPr>
            <w:tcW w:w="1622" w:type="dxa"/>
            <w:vAlign w:val="center"/>
          </w:tcPr>
          <w:p>
            <w:pPr>
              <w:pStyle w:val="50"/>
              <w:spacing w:before="1"/>
              <w:jc w:val="both"/>
              <w:rPr>
                <w:sz w:val="21"/>
                <w:szCs w:val="21"/>
                <w:lang w:val="en-US"/>
              </w:rPr>
            </w:pPr>
            <w:r>
              <w:rPr>
                <w:rFonts w:hint="eastAsia"/>
                <w:sz w:val="21"/>
                <w:szCs w:val="21"/>
                <w:lang w:val="en-US"/>
              </w:rPr>
              <w:t>项目实施要点（ 分）</w:t>
            </w:r>
          </w:p>
        </w:tc>
        <w:tc>
          <w:tcPr>
            <w:tcW w:w="5515" w:type="dxa"/>
            <w:vAlign w:val="center"/>
          </w:tcPr>
          <w:p>
            <w:pPr>
              <w:pStyle w:val="50"/>
              <w:spacing w:before="1"/>
              <w:jc w:val="both"/>
              <w:rPr>
                <w:sz w:val="21"/>
                <w:szCs w:val="21"/>
                <w:lang w:val="en-US"/>
              </w:rPr>
            </w:pPr>
            <w:r>
              <w:rPr>
                <w:rFonts w:hint="eastAsia"/>
                <w:sz w:val="21"/>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jc w:val="center"/>
        </w:trPr>
        <w:tc>
          <w:tcPr>
            <w:tcW w:w="1066" w:type="dxa"/>
            <w:vMerge w:val="continue"/>
          </w:tcPr>
          <w:p>
            <w:pPr>
              <w:spacing w:line="360" w:lineRule="exact"/>
              <w:rPr>
                <w:rFonts w:asciiTheme="minorEastAsia" w:hAnsiTheme="minorEastAsia" w:eastAsiaTheme="minorEastAsia" w:cstheme="minorEastAsia"/>
                <w:sz w:val="21"/>
                <w:szCs w:val="21"/>
              </w:rPr>
            </w:pPr>
          </w:p>
        </w:tc>
        <w:tc>
          <w:tcPr>
            <w:tcW w:w="1141" w:type="dxa"/>
            <w:vMerge w:val="continue"/>
          </w:tcPr>
          <w:p>
            <w:pPr>
              <w:widowControl/>
              <w:jc w:val="center"/>
              <w:rPr>
                <w:rFonts w:asciiTheme="minorEastAsia" w:hAnsiTheme="minorEastAsia" w:eastAsiaTheme="minorEastAsia" w:cstheme="minorEastAsia"/>
                <w:sz w:val="21"/>
                <w:szCs w:val="21"/>
              </w:rPr>
            </w:pPr>
          </w:p>
        </w:tc>
        <w:tc>
          <w:tcPr>
            <w:tcW w:w="1622" w:type="dxa"/>
            <w:vAlign w:val="center"/>
          </w:tcPr>
          <w:p>
            <w:pPr>
              <w:pStyle w:val="50"/>
              <w:spacing w:before="46"/>
              <w:jc w:val="both"/>
              <w:rPr>
                <w:sz w:val="21"/>
                <w:szCs w:val="21"/>
                <w:lang w:val="en-US"/>
              </w:rPr>
            </w:pPr>
            <w:r>
              <w:rPr>
                <w:rFonts w:hint="eastAsia"/>
                <w:sz w:val="21"/>
                <w:szCs w:val="21"/>
                <w:lang w:val="en-US"/>
              </w:rPr>
              <w:t xml:space="preserve">项目管理要点（ 分） </w:t>
            </w:r>
          </w:p>
        </w:tc>
        <w:tc>
          <w:tcPr>
            <w:tcW w:w="5515" w:type="dxa"/>
            <w:vAlign w:val="center"/>
          </w:tcPr>
          <w:p>
            <w:pPr>
              <w:pStyle w:val="50"/>
              <w:spacing w:before="1"/>
              <w:jc w:val="both"/>
              <w:rPr>
                <w:sz w:val="21"/>
                <w:szCs w:val="21"/>
                <w:lang w:val="en-US"/>
              </w:rPr>
            </w:pPr>
            <w:r>
              <w:rPr>
                <w:rFonts w:hint="eastAsia"/>
                <w:sz w:val="21"/>
                <w:szCs w:val="21"/>
                <w:lang w:val="en-US" w:bidi="zh-TW"/>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3" w:hRule="atLeast"/>
          <w:jc w:val="center"/>
        </w:trPr>
        <w:tc>
          <w:tcPr>
            <w:tcW w:w="1066"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2.2.4（</w:t>
            </w:r>
            <w:r>
              <w:rPr>
                <w:rFonts w:hint="eastAsia" w:asciiTheme="minorEastAsia" w:hAnsiTheme="minorEastAsia" w:eastAsiaTheme="minorEastAsia" w:cstheme="minorEastAsia"/>
                <w:sz w:val="21"/>
                <w:szCs w:val="21"/>
                <w:lang w:val="en-US"/>
              </w:rPr>
              <w:t>4</w:t>
            </w:r>
            <w:r>
              <w:rPr>
                <w:rFonts w:hint="eastAsia" w:asciiTheme="minorEastAsia" w:hAnsiTheme="minorEastAsia" w:eastAsiaTheme="minorEastAsia" w:cstheme="minorEastAsia"/>
                <w:sz w:val="21"/>
                <w:szCs w:val="21"/>
              </w:rPr>
              <w:t>）</w:t>
            </w:r>
          </w:p>
        </w:tc>
        <w:tc>
          <w:tcPr>
            <w:tcW w:w="1141" w:type="dxa"/>
            <w:vAlign w:val="center"/>
          </w:tcPr>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商务标</w:t>
            </w:r>
          </w:p>
          <w:p>
            <w:pPr>
              <w:pStyle w:val="50"/>
              <w:spacing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评分标准</w:t>
            </w:r>
          </w:p>
          <w:p>
            <w:pPr>
              <w:pStyle w:val="50"/>
              <w:spacing w:before="1" w:line="36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分）</w:t>
            </w:r>
          </w:p>
        </w:tc>
        <w:tc>
          <w:tcPr>
            <w:tcW w:w="1622" w:type="dxa"/>
            <w:vAlign w:val="center"/>
          </w:tcPr>
          <w:p>
            <w:pPr>
              <w:pStyle w:val="50"/>
              <w:spacing w:line="360" w:lineRule="exact"/>
              <w:jc w:val="center"/>
              <w:rPr>
                <w:rFonts w:hint="eastAsia"/>
                <w:szCs w:val="21"/>
              </w:rPr>
            </w:pPr>
            <w:r>
              <w:rPr>
                <w:rFonts w:hint="eastAsia"/>
                <w:szCs w:val="21"/>
              </w:rPr>
              <w:t>其中设计 分，</w:t>
            </w:r>
          </w:p>
          <w:p>
            <w:pPr>
              <w:pStyle w:val="50"/>
              <w:spacing w:line="360" w:lineRule="exact"/>
              <w:jc w:val="center"/>
              <w:rPr>
                <w:rFonts w:asciiTheme="minorEastAsia" w:hAnsiTheme="minorEastAsia" w:eastAsiaTheme="minorEastAsia" w:cstheme="minorEastAsia"/>
                <w:sz w:val="21"/>
                <w:szCs w:val="21"/>
              </w:rPr>
            </w:pPr>
            <w:r>
              <w:rPr>
                <w:rFonts w:hint="eastAsia"/>
                <w:szCs w:val="21"/>
              </w:rPr>
              <w:t>施工 分。</w:t>
            </w:r>
          </w:p>
        </w:tc>
        <w:tc>
          <w:tcPr>
            <w:tcW w:w="5515" w:type="dxa"/>
            <w:tcBorders>
              <w:bottom w:val="single" w:color="000000" w:sz="6" w:space="0"/>
            </w:tcBorders>
          </w:tcPr>
          <w:p>
            <w:pPr>
              <w:rPr>
                <w:szCs w:val="21"/>
              </w:rPr>
            </w:pPr>
            <w:r>
              <w:rPr>
                <w:rFonts w:hint="eastAsia"/>
                <w:szCs w:val="21"/>
              </w:rPr>
              <w:t>1．工程勘察及工程设计部分商务标满分5分：</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投标报价大于或等于本项目最高限价的为无效报价，按无效标处理。投标报价计算方法:</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1、对投标报价的合格性进行评审。</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2、评标基准价=所有经评审合格的投标报价的算数平均值。</w:t>
            </w:r>
          </w:p>
          <w:p>
            <w:pPr>
              <w:adjustRightInd w:val="0"/>
              <w:snapToGrid w:val="0"/>
              <w:spacing w:line="360" w:lineRule="auto"/>
              <w:rPr>
                <w:rFonts w:hint="eastAsia"/>
                <w:sz w:val="24"/>
                <w:szCs w:val="24"/>
                <w:lang w:val="en-US" w:bidi="ar"/>
              </w:rPr>
            </w:pPr>
            <w:r>
              <w:rPr>
                <w:rFonts w:hint="eastAsia"/>
                <w:sz w:val="24"/>
                <w:szCs w:val="24"/>
                <w:lang w:val="en-US" w:bidi="ar"/>
              </w:rPr>
              <w:t>3、投标报价评审采用插入计算法:投标人的投标报价等于评标基准价的得满分，投标人的投标报价每高于评标基准价1%，扣</w:t>
            </w:r>
            <w:r>
              <w:rPr>
                <w:sz w:val="24"/>
                <w:szCs w:val="24"/>
                <w:lang w:val="en-US" w:bidi="ar"/>
              </w:rPr>
              <w:t>1</w:t>
            </w:r>
            <w:r>
              <w:rPr>
                <w:rFonts w:hint="eastAsia"/>
                <w:sz w:val="24"/>
                <w:szCs w:val="24"/>
                <w:lang w:val="en-US" w:bidi="ar"/>
              </w:rPr>
              <w:t>分，每低于评标基准价1%，扣0.</w:t>
            </w:r>
            <w:r>
              <w:rPr>
                <w:sz w:val="24"/>
                <w:szCs w:val="24"/>
                <w:lang w:val="en-US" w:bidi="ar"/>
              </w:rPr>
              <w:t>5</w:t>
            </w:r>
            <w:r>
              <w:rPr>
                <w:rFonts w:hint="eastAsia"/>
                <w:sz w:val="24"/>
                <w:szCs w:val="24"/>
                <w:lang w:val="en-US" w:bidi="ar"/>
              </w:rPr>
              <w:t>分。 为防止投标人低于成本竞标或投标报价明显低于其他投标人报价或低于市场价格的行为，评标委员会可对投标人进行质询。对评标委员会的质询，投标人应当进行说明并提供相应证明材料。投标人能够提供有效证明材料，说明其正当理由的，评委（多数意见为准)同意签字认可后，可视为报价合理或不低于成本价。否则评标委员会有权否决其投标报价，按无效投标处理。</w:t>
            </w:r>
          </w:p>
          <w:p>
            <w:pPr>
              <w:adjustRightInd w:val="0"/>
              <w:snapToGrid w:val="0"/>
              <w:spacing w:line="360" w:lineRule="auto"/>
              <w:rPr>
                <w:szCs w:val="21"/>
              </w:rPr>
            </w:pPr>
            <w:r>
              <w:rPr>
                <w:rFonts w:hint="eastAsia"/>
                <w:szCs w:val="21"/>
              </w:rPr>
              <w:t>注：小数点后保留不超过两位，如88.00%。超过2位的，第三位直接舍去，如报价</w:t>
            </w:r>
            <w:r>
              <w:rPr>
                <w:szCs w:val="21"/>
              </w:rPr>
              <w:t>5</w:t>
            </w:r>
            <w:r>
              <w:rPr>
                <w:rFonts w:hint="eastAsia"/>
                <w:szCs w:val="21"/>
              </w:rPr>
              <w:t>8.125%，则在评审、订立合同时，均按</w:t>
            </w:r>
            <w:r>
              <w:rPr>
                <w:szCs w:val="21"/>
              </w:rPr>
              <w:t>5</w:t>
            </w:r>
            <w:r>
              <w:rPr>
                <w:rFonts w:hint="eastAsia"/>
                <w:szCs w:val="21"/>
              </w:rPr>
              <w:t>8.12%执行。</w:t>
            </w:r>
          </w:p>
          <w:p>
            <w:pPr>
              <w:rPr>
                <w:szCs w:val="21"/>
              </w:rPr>
            </w:pPr>
            <w:r>
              <w:rPr>
                <w:rFonts w:hint="eastAsia"/>
                <w:szCs w:val="21"/>
              </w:rPr>
              <w:t>2．工程施工部分商务标满分B分：</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投标报价大于或等于本项目最高限价的为无效报价，按无效标处理。投标报价计算方法:</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1、对投标报价的合格性进行评审。</w:t>
            </w:r>
          </w:p>
          <w:p>
            <w:pPr>
              <w:widowControl/>
              <w:autoSpaceDE/>
              <w:autoSpaceDN/>
              <w:jc w:val="both"/>
              <w:rPr>
                <w:rFonts w:ascii="Times New Roman" w:hAnsi="Times New Roman" w:cs="Times New Roman"/>
                <w:kern w:val="2"/>
                <w:sz w:val="21"/>
                <w:szCs w:val="24"/>
                <w:lang w:val="en-US" w:bidi="ar-SA"/>
              </w:rPr>
            </w:pPr>
            <w:r>
              <w:rPr>
                <w:rFonts w:hint="eastAsia"/>
                <w:sz w:val="24"/>
                <w:szCs w:val="24"/>
                <w:lang w:val="en-US" w:bidi="ar"/>
              </w:rPr>
              <w:t>2、评标基准价=所有经评审合格的投标报价的算数平均值。</w:t>
            </w:r>
          </w:p>
          <w:p>
            <w:pPr>
              <w:adjustRightInd w:val="0"/>
              <w:snapToGrid w:val="0"/>
              <w:spacing w:line="360" w:lineRule="auto"/>
              <w:rPr>
                <w:rFonts w:hint="eastAsia"/>
                <w:sz w:val="24"/>
                <w:szCs w:val="24"/>
                <w:lang w:val="en-US" w:bidi="ar"/>
              </w:rPr>
            </w:pPr>
            <w:r>
              <w:rPr>
                <w:rFonts w:hint="eastAsia"/>
                <w:sz w:val="24"/>
                <w:szCs w:val="24"/>
                <w:lang w:val="en-US" w:bidi="ar"/>
              </w:rPr>
              <w:t>3、投标报价评审采用插入计算法:投标人的投标报价等于评标基准价的得满分，投标人的投标报价每高于评标基准价1%，扣</w:t>
            </w:r>
            <w:r>
              <w:rPr>
                <w:sz w:val="24"/>
                <w:szCs w:val="24"/>
                <w:lang w:val="en-US" w:bidi="ar"/>
              </w:rPr>
              <w:t>1</w:t>
            </w:r>
            <w:r>
              <w:rPr>
                <w:rFonts w:hint="eastAsia"/>
                <w:sz w:val="24"/>
                <w:szCs w:val="24"/>
                <w:lang w:val="en-US" w:bidi="ar"/>
              </w:rPr>
              <w:t>分，每低于评标基准价1%，扣0.</w:t>
            </w:r>
            <w:r>
              <w:rPr>
                <w:sz w:val="24"/>
                <w:szCs w:val="24"/>
                <w:lang w:val="en-US" w:bidi="ar"/>
              </w:rPr>
              <w:t>5</w:t>
            </w:r>
            <w:r>
              <w:rPr>
                <w:rFonts w:hint="eastAsia"/>
                <w:sz w:val="24"/>
                <w:szCs w:val="24"/>
                <w:lang w:val="en-US" w:bidi="ar"/>
              </w:rPr>
              <w:t>分。 为防止投标人低于成本竞标或投标报价明显低于其他投标人报价或低于市场价格的行为，评标委员会可对投标人进行质询。对评标委员会的质询，投标人应当进行说明并提供相应证明材料。投标人能够提供有效证明材料，说明其正当理由的，评委（多数意见为准)同意签字认可后，可视为报价合理或不低于成本价。否则评标委员会有权否决其投标报价，按无效投标处理。</w:t>
            </w:r>
          </w:p>
          <w:p>
            <w:pPr>
              <w:adjustRightInd w:val="0"/>
              <w:snapToGrid w:val="0"/>
              <w:spacing w:line="360" w:lineRule="auto"/>
              <w:rPr>
                <w:szCs w:val="21"/>
              </w:rPr>
            </w:pPr>
            <w:r>
              <w:rPr>
                <w:rFonts w:hint="eastAsia"/>
                <w:szCs w:val="21"/>
              </w:rPr>
              <w:t>注：小数点后保留不超过两位，如88.00%。超过2位的，第三位直接舍去，如报价</w:t>
            </w:r>
            <w:r>
              <w:rPr>
                <w:szCs w:val="21"/>
              </w:rPr>
              <w:t>5</w:t>
            </w:r>
            <w:r>
              <w:rPr>
                <w:rFonts w:hint="eastAsia"/>
                <w:szCs w:val="21"/>
              </w:rPr>
              <w:t>8.125%，则在评审、订立合同时，均按</w:t>
            </w:r>
            <w:r>
              <w:rPr>
                <w:szCs w:val="21"/>
              </w:rPr>
              <w:t>5</w:t>
            </w:r>
            <w:r>
              <w:rPr>
                <w:rFonts w:hint="eastAsia"/>
                <w:szCs w:val="21"/>
              </w:rPr>
              <w:t>8.12%执行。</w:t>
            </w:r>
          </w:p>
          <w:p>
            <w:pPr>
              <w:adjustRightInd w:val="0"/>
              <w:snapToGrid w:val="0"/>
              <w:spacing w:line="360" w:lineRule="auto"/>
              <w:rPr>
                <w:rFonts w:asciiTheme="minorEastAsia" w:hAnsiTheme="minorEastAsia" w:eastAsiaTheme="minorEastAsia" w:cstheme="minorEastAsia"/>
                <w:b/>
                <w:sz w:val="21"/>
                <w:szCs w:val="21"/>
              </w:rPr>
            </w:pPr>
          </w:p>
        </w:tc>
      </w:tr>
    </w:tbl>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注：以上所有打分、得分计算、汇总及评委评分的平均分计算保留小数点后二位，小数点后第三位“四舍五入”；评委评出的投标人得分的</w:t>
      </w:r>
      <w:r>
        <w:rPr>
          <w:rFonts w:hint="eastAsia" w:asciiTheme="minorEastAsia" w:hAnsiTheme="minorEastAsia" w:eastAsiaTheme="minorEastAsia" w:cstheme="minorEastAsia"/>
          <w:sz w:val="21"/>
          <w:szCs w:val="21"/>
          <w:lang w:val="en-US"/>
        </w:rPr>
        <w:t>算术</w:t>
      </w:r>
      <w:r>
        <w:rPr>
          <w:rFonts w:hint="eastAsia" w:asciiTheme="minorEastAsia" w:hAnsiTheme="minorEastAsia" w:eastAsiaTheme="minorEastAsia" w:cstheme="minorEastAsia"/>
          <w:sz w:val="21"/>
          <w:szCs w:val="21"/>
        </w:rPr>
        <w:t>平均值为每个投标人的综合得分（最终总得分）。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1.上述凡涉及评审的项目，投标文件中相关资质、资格、职称或证明材料电子扫描件内容及图章应清晰，否则涉及初步评审的，初步评审不予通过；涉及评分的，该项不得分，造成的所有评审后果由投标人自行负责。</w:t>
      </w:r>
      <w:r>
        <w:rPr>
          <w:rFonts w:hint="eastAsia" w:asciiTheme="minorEastAsia" w:hAnsiTheme="minorEastAsia" w:eastAsiaTheme="minorEastAsia" w:cstheme="minorEastAsia"/>
          <w:b/>
          <w:sz w:val="21"/>
          <w:szCs w:val="21"/>
        </w:rPr>
        <w:t>业绩证明资料须包含能够证明项目投资规模符合招标文件要求的资料（业绩合同须提供包含甲乙方、项目名称、合同总金额、合同签订时间、合同范围、合同签字盖章页等关键内容的关键页的扫描件）</w:t>
      </w:r>
      <w:r>
        <w:rPr>
          <w:rFonts w:hint="eastAsia" w:asciiTheme="minorEastAsia" w:hAnsiTheme="minorEastAsia" w:eastAsiaTheme="minorEastAsia" w:cstheme="minorEastAsia"/>
          <w:sz w:val="21"/>
          <w:szCs w:val="21"/>
        </w:rPr>
        <w:t>。投标人必须对其投标时提供的有关资料的真实性负责，一旦查出有弄虚作假行为，其投标保证金将不予退还，并按有关法律法规处理。</w:t>
      </w:r>
    </w:p>
    <w:p>
      <w:pPr>
        <w:spacing w:line="360" w:lineRule="auto"/>
        <w:ind w:firstLine="422" w:firstLineChars="200"/>
        <w:rPr>
          <w:rFonts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2.投标人不得恶意不计成本异常低价报价（异常低价按照安徽省最新有关文件规定，即低于  %的为异常低价），一经发现，评委会重点评审后，作无效标处理。异常低价指施工费用报价。</w:t>
      </w:r>
    </w:p>
    <w:p>
      <w:pPr>
        <w:pStyle w:val="6"/>
        <w:tabs>
          <w:tab w:val="left" w:pos="1008"/>
        </w:tabs>
        <w:spacing w:line="360" w:lineRule="auto"/>
        <w:ind w:left="0" w:firstLine="422" w:firstLineChars="200"/>
        <w:rPr>
          <w:rFonts w:asciiTheme="minorEastAsia" w:hAnsiTheme="minorEastAsia" w:eastAsiaTheme="minorEastAsia" w:cstheme="minorEastAsia"/>
          <w:b/>
          <w:bCs/>
          <w:sz w:val="21"/>
          <w:szCs w:val="21"/>
          <w:lang w:val="en-US"/>
        </w:rPr>
      </w:pPr>
      <w:bookmarkStart w:id="295" w:name="_Toc113958420"/>
      <w:bookmarkStart w:id="296" w:name="_Toc24397"/>
      <w:bookmarkStart w:id="297" w:name="_Toc21869"/>
      <w:r>
        <w:rPr>
          <w:rFonts w:hint="eastAsia" w:asciiTheme="minorEastAsia" w:hAnsiTheme="minorEastAsia" w:eastAsiaTheme="minorEastAsia" w:cstheme="minorEastAsia"/>
          <w:b/>
          <w:bCs/>
          <w:sz w:val="21"/>
          <w:szCs w:val="21"/>
          <w:lang w:val="en-US"/>
        </w:rPr>
        <w:t>1.评标方法</w:t>
      </w:r>
      <w:bookmarkEnd w:id="295"/>
      <w:bookmarkEnd w:id="296"/>
      <w:bookmarkEnd w:id="297"/>
    </w:p>
    <w:p>
      <w:pPr>
        <w:pStyle w:val="16"/>
        <w:spacing w:line="360" w:lineRule="auto"/>
        <w:ind w:firstLine="422" w:firstLineChars="20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本次评标采用综合评估法。评标委员会对满足招标文件资格评审要求的投标文件，按照本章第 2.2 款规定的评分标准进行打分，并按得分由高到低顺序推荐</w:t>
      </w:r>
      <w:r>
        <w:rPr>
          <w:rFonts w:hint="eastAsia" w:asciiTheme="minorEastAsia" w:hAnsiTheme="minorEastAsia" w:eastAsiaTheme="minorEastAsia" w:cstheme="minorEastAsia"/>
          <w:b/>
          <w:bCs/>
          <w:lang w:val="en-US"/>
        </w:rPr>
        <w:t>1-3</w:t>
      </w:r>
      <w:r>
        <w:rPr>
          <w:rFonts w:hint="eastAsia" w:asciiTheme="minorEastAsia" w:hAnsiTheme="minorEastAsia" w:eastAsiaTheme="minorEastAsia" w:cstheme="minorEastAsia"/>
          <w:b/>
          <w:bCs/>
        </w:rPr>
        <w:t>名中标候选人(得分相同时，施工报价费率低者优先推荐；若得分相同，施工费率报价也相同，则现场抽签确定顺序)，中标候选人排名不分先后。如通过资格评审的有效投标不足3个，评标委员会应当对有效投标是否仍具有竞争性进行评审。评标委员会认为有效投标仍具有竞争性的，应当继续按照规定的程序进技术标（商务标）评审。</w:t>
      </w:r>
    </w:p>
    <w:p>
      <w:pPr>
        <w:pStyle w:val="16"/>
        <w:spacing w:line="360" w:lineRule="auto"/>
        <w:ind w:firstLine="422" w:firstLineChars="20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lang w:val="en-US"/>
        </w:rPr>
        <w:t>评标委员会提供的书面评标报告中应说明各中标候选人投标文件的优势、缺点、风险等评审情况、推荐理由和评标委员会对其技术、质量、安全、工期的控制能力等。</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评标由招标人依法组建的评标委员会负责，评标委员会由招标人的代表和有关技术、经济等方面的专家组成，成员人数为五人或以上的单数，其中技术、经济等方面的专家不得少于成员总数的三分之二。</w:t>
      </w:r>
    </w:p>
    <w:p>
      <w:pPr>
        <w:pStyle w:val="6"/>
        <w:tabs>
          <w:tab w:val="left" w:pos="1008"/>
        </w:tabs>
        <w:spacing w:line="360" w:lineRule="auto"/>
        <w:ind w:left="0" w:firstLine="0"/>
        <w:rPr>
          <w:rFonts w:asciiTheme="minorEastAsia" w:hAnsiTheme="minorEastAsia" w:eastAsiaTheme="minorEastAsia" w:cstheme="minorEastAsia"/>
          <w:b/>
          <w:bCs/>
          <w:sz w:val="21"/>
          <w:szCs w:val="21"/>
        </w:rPr>
      </w:pPr>
      <w:bookmarkStart w:id="298" w:name="2.评审标准"/>
      <w:bookmarkEnd w:id="298"/>
      <w:bookmarkStart w:id="299" w:name="_Toc25809"/>
      <w:bookmarkStart w:id="300" w:name="_Toc2069"/>
      <w:bookmarkStart w:id="301" w:name="_Toc113958421"/>
      <w:r>
        <w:rPr>
          <w:rFonts w:hint="eastAsia" w:asciiTheme="minorEastAsia" w:hAnsiTheme="minorEastAsia" w:eastAsiaTheme="minorEastAsia" w:cstheme="minorEastAsia"/>
          <w:b/>
          <w:bCs/>
          <w:spacing w:val="15"/>
          <w:sz w:val="21"/>
          <w:szCs w:val="21"/>
          <w:lang w:val="en-US"/>
        </w:rPr>
        <w:t>2.</w:t>
      </w:r>
      <w:r>
        <w:rPr>
          <w:rFonts w:hint="eastAsia" w:asciiTheme="minorEastAsia" w:hAnsiTheme="minorEastAsia" w:eastAsiaTheme="minorEastAsia" w:cstheme="minorEastAsia"/>
          <w:b/>
          <w:bCs/>
          <w:spacing w:val="15"/>
          <w:sz w:val="21"/>
          <w:szCs w:val="21"/>
        </w:rPr>
        <w:t>评审标准</w:t>
      </w:r>
      <w:bookmarkEnd w:id="299"/>
      <w:bookmarkEnd w:id="300"/>
      <w:bookmarkEnd w:id="301"/>
    </w:p>
    <w:p>
      <w:pPr>
        <w:pStyle w:val="7"/>
        <w:spacing w:line="360" w:lineRule="auto"/>
        <w:ind w:left="0" w:firstLine="0"/>
        <w:rPr>
          <w:sz w:val="21"/>
        </w:rPr>
      </w:pPr>
      <w:bookmarkStart w:id="302" w:name="2.1_资格评审标准"/>
      <w:bookmarkEnd w:id="302"/>
      <w:bookmarkStart w:id="303" w:name="_Toc113958422"/>
      <w:bookmarkStart w:id="304" w:name="_Toc11818"/>
      <w:r>
        <w:rPr>
          <w:rFonts w:hint="eastAsia"/>
          <w:sz w:val="21"/>
        </w:rPr>
        <w:t>2.1</w:t>
      </w:r>
      <w:r>
        <w:rPr>
          <w:sz w:val="21"/>
        </w:rPr>
        <w:t xml:space="preserve"> </w:t>
      </w:r>
      <w:r>
        <w:rPr>
          <w:rFonts w:hint="eastAsia"/>
          <w:sz w:val="21"/>
        </w:rPr>
        <w:t>资格评审标准</w:t>
      </w:r>
      <w:bookmarkEnd w:id="303"/>
      <w:bookmarkEnd w:id="304"/>
    </w:p>
    <w:p>
      <w:pPr>
        <w:pStyle w:val="16"/>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评标委员会根据资格评审基本条件表中规定的内容，判断投标是否为无效投标。</w:t>
      </w:r>
    </w:p>
    <w:p>
      <w:pPr>
        <w:pStyle w:val="7"/>
        <w:spacing w:line="360" w:lineRule="auto"/>
        <w:ind w:left="0" w:firstLine="0"/>
        <w:rPr>
          <w:sz w:val="21"/>
        </w:rPr>
      </w:pPr>
      <w:bookmarkStart w:id="305" w:name="2.2_详细评审标准"/>
      <w:bookmarkEnd w:id="305"/>
      <w:bookmarkStart w:id="306" w:name="_Toc113958423"/>
      <w:bookmarkStart w:id="307" w:name="_Toc32506"/>
      <w:bookmarkStart w:id="308" w:name="_Toc8085"/>
      <w:r>
        <w:rPr>
          <w:rFonts w:hint="eastAsia"/>
          <w:sz w:val="21"/>
        </w:rPr>
        <w:t>2.2</w:t>
      </w:r>
      <w:r>
        <w:rPr>
          <w:sz w:val="21"/>
        </w:rPr>
        <w:t xml:space="preserve"> </w:t>
      </w:r>
      <w:r>
        <w:rPr>
          <w:rFonts w:hint="eastAsia"/>
          <w:sz w:val="21"/>
        </w:rPr>
        <w:t>详细评审标准</w:t>
      </w:r>
      <w:bookmarkEnd w:id="306"/>
      <w:bookmarkEnd w:id="307"/>
      <w:bookmarkEnd w:id="308"/>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2.2.1</w:t>
      </w:r>
      <w:r>
        <w:rPr>
          <w:rFonts w:hint="eastAsia" w:asciiTheme="minorEastAsia" w:hAnsiTheme="minorEastAsia" w:eastAsiaTheme="minorEastAsia" w:cstheme="minorEastAsia"/>
        </w:rPr>
        <w:t>分值构成</w:t>
      </w:r>
    </w:p>
    <w:p>
      <w:pPr>
        <w:pStyle w:val="16"/>
        <w:spacing w:before="8" w:line="360" w:lineRule="auto"/>
        <w:ind w:firstLine="420" w:firstLineChars="200"/>
        <w:jc w:val="both"/>
      </w:pPr>
      <w:r>
        <w:rPr>
          <w:rFonts w:hint="eastAsia"/>
        </w:rPr>
        <w:t>（</w:t>
      </w:r>
      <w:r>
        <w:rPr>
          <w:rFonts w:hint="eastAsia"/>
          <w:lang w:val="en-US"/>
        </w:rPr>
        <w:t>1</w:t>
      </w:r>
      <w:r>
        <w:rPr>
          <w:rFonts w:hint="eastAsia"/>
        </w:rPr>
        <w:t>）企业实力：见评标办法前附表中（二）详细评审表；</w:t>
      </w:r>
    </w:p>
    <w:p>
      <w:pPr>
        <w:pStyle w:val="16"/>
        <w:spacing w:before="8" w:line="360" w:lineRule="auto"/>
        <w:ind w:firstLine="420" w:firstLineChars="200"/>
        <w:jc w:val="both"/>
      </w:pPr>
      <w:r>
        <w:rPr>
          <w:rFonts w:hint="eastAsia"/>
        </w:rPr>
        <w:t>（</w:t>
      </w:r>
      <w:r>
        <w:rPr>
          <w:rFonts w:hint="eastAsia"/>
          <w:lang w:val="en-US"/>
        </w:rPr>
        <w:t>2</w:t>
      </w:r>
      <w:r>
        <w:rPr>
          <w:rFonts w:hint="eastAsia"/>
        </w:rPr>
        <w:t>）设计方案：见评标办法前附表中（二）详细评审表；</w:t>
      </w:r>
    </w:p>
    <w:p>
      <w:pPr>
        <w:pStyle w:val="16"/>
        <w:spacing w:before="8" w:line="360" w:lineRule="auto"/>
        <w:ind w:firstLine="420" w:firstLineChars="200"/>
        <w:jc w:val="both"/>
      </w:pPr>
      <w:r>
        <w:rPr>
          <w:rFonts w:hint="eastAsia"/>
        </w:rPr>
        <w:t>（</w:t>
      </w:r>
      <w:r>
        <w:rPr>
          <w:rFonts w:hint="eastAsia"/>
          <w:lang w:val="en-US"/>
        </w:rPr>
        <w:t>3</w:t>
      </w:r>
      <w:r>
        <w:rPr>
          <w:rFonts w:hint="eastAsia"/>
        </w:rPr>
        <w:t>）</w:t>
      </w:r>
      <w:r>
        <w:rPr>
          <w:rFonts w:hint="eastAsia"/>
          <w:lang w:val="en-US"/>
        </w:rPr>
        <w:t>施工</w:t>
      </w:r>
      <w:r>
        <w:rPr>
          <w:rFonts w:hint="eastAsia"/>
        </w:rPr>
        <w:t>方案：见评标办法前附表中（二）详细评审表；</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2.2.2</w:t>
      </w:r>
      <w:r>
        <w:rPr>
          <w:rFonts w:hint="eastAsia" w:asciiTheme="minorEastAsia" w:hAnsiTheme="minorEastAsia" w:eastAsiaTheme="minorEastAsia" w:cstheme="minorEastAsia"/>
        </w:rPr>
        <w:t>评分标准</w:t>
      </w:r>
    </w:p>
    <w:p>
      <w:pPr>
        <w:pStyle w:val="16"/>
        <w:spacing w:before="8" w:line="360" w:lineRule="auto"/>
        <w:ind w:firstLine="420" w:firstLineChars="200"/>
        <w:jc w:val="both"/>
      </w:pPr>
      <w:bookmarkStart w:id="309" w:name="2.3商务标评审标准"/>
      <w:bookmarkEnd w:id="309"/>
      <w:bookmarkStart w:id="310" w:name="_Toc2798"/>
      <w:bookmarkStart w:id="311" w:name="_Toc113958424"/>
      <w:r>
        <w:rPr>
          <w:rFonts w:hint="eastAsia"/>
        </w:rPr>
        <w:t>（</w:t>
      </w:r>
      <w:r>
        <w:rPr>
          <w:rFonts w:hint="eastAsia"/>
          <w:lang w:val="en-US"/>
        </w:rPr>
        <w:t>1</w:t>
      </w:r>
      <w:r>
        <w:rPr>
          <w:rFonts w:hint="eastAsia"/>
        </w:rPr>
        <w:t>）企业实力：见评标办法前附表中（二）详细评审表；</w:t>
      </w:r>
    </w:p>
    <w:p>
      <w:pPr>
        <w:pStyle w:val="16"/>
        <w:spacing w:before="8" w:line="360" w:lineRule="auto"/>
        <w:ind w:firstLine="420" w:firstLineChars="200"/>
        <w:jc w:val="both"/>
      </w:pPr>
      <w:r>
        <w:rPr>
          <w:rFonts w:hint="eastAsia"/>
        </w:rPr>
        <w:t>（</w:t>
      </w:r>
      <w:r>
        <w:rPr>
          <w:rFonts w:hint="eastAsia"/>
          <w:lang w:val="en-US"/>
        </w:rPr>
        <w:t>2</w:t>
      </w:r>
      <w:r>
        <w:rPr>
          <w:rFonts w:hint="eastAsia"/>
        </w:rPr>
        <w:t>）设计方案：见评标办法前附表中（二）详细评审表；</w:t>
      </w:r>
    </w:p>
    <w:p>
      <w:pPr>
        <w:pStyle w:val="16"/>
        <w:spacing w:before="8" w:line="360" w:lineRule="auto"/>
        <w:ind w:firstLine="420" w:firstLineChars="200"/>
        <w:jc w:val="both"/>
      </w:pPr>
      <w:r>
        <w:rPr>
          <w:rFonts w:hint="eastAsia"/>
        </w:rPr>
        <w:t>（</w:t>
      </w:r>
      <w:r>
        <w:rPr>
          <w:rFonts w:hint="eastAsia"/>
          <w:lang w:val="en-US"/>
        </w:rPr>
        <w:t>3</w:t>
      </w:r>
      <w:r>
        <w:rPr>
          <w:rFonts w:hint="eastAsia"/>
        </w:rPr>
        <w:t>）</w:t>
      </w:r>
      <w:r>
        <w:rPr>
          <w:rFonts w:hint="eastAsia"/>
          <w:lang w:val="en-US"/>
        </w:rPr>
        <w:t>施工</w:t>
      </w:r>
      <w:r>
        <w:rPr>
          <w:rFonts w:hint="eastAsia"/>
        </w:rPr>
        <w:t>方案：见评标办法前附表中（二）详细评审表；</w:t>
      </w:r>
    </w:p>
    <w:p>
      <w:pPr>
        <w:pStyle w:val="7"/>
        <w:spacing w:line="360" w:lineRule="auto"/>
        <w:ind w:left="0" w:firstLine="0"/>
        <w:rPr>
          <w:sz w:val="21"/>
        </w:rPr>
      </w:pPr>
      <w:bookmarkStart w:id="312" w:name="_Toc4482"/>
      <w:r>
        <w:rPr>
          <w:rFonts w:hint="eastAsia"/>
          <w:sz w:val="21"/>
        </w:rPr>
        <w:t>2.3 商务标评审标准</w:t>
      </w:r>
      <w:bookmarkEnd w:id="310"/>
      <w:bookmarkEnd w:id="311"/>
      <w:bookmarkEnd w:id="312"/>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2.3.1</w:t>
      </w:r>
      <w:r>
        <w:rPr>
          <w:rFonts w:hint="eastAsia" w:asciiTheme="minorEastAsia" w:hAnsiTheme="minorEastAsia" w:eastAsiaTheme="minorEastAsia" w:cstheme="minorEastAsia"/>
        </w:rPr>
        <w:t>分值构成</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（1）投标报价：见详细评审表。</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2.3.2</w:t>
      </w:r>
      <w:r>
        <w:rPr>
          <w:rFonts w:hint="eastAsia" w:asciiTheme="minorEastAsia" w:hAnsiTheme="minorEastAsia" w:eastAsiaTheme="minorEastAsia" w:cstheme="minorEastAsia"/>
        </w:rPr>
        <w:t>评标基准价计算</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评标基准价计算方法：见详细评审表。</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2.3.3</w:t>
      </w:r>
      <w:r>
        <w:rPr>
          <w:rFonts w:hint="eastAsia" w:asciiTheme="minorEastAsia" w:hAnsiTheme="minorEastAsia" w:eastAsiaTheme="minorEastAsia" w:cstheme="minorEastAsia"/>
        </w:rPr>
        <w:t>投标报价的偏差率计算</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投标报价的偏差率计算公式：见详细评审表。</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2.3.4</w:t>
      </w:r>
      <w:r>
        <w:rPr>
          <w:rFonts w:hint="eastAsia" w:asciiTheme="minorEastAsia" w:hAnsiTheme="minorEastAsia" w:eastAsiaTheme="minorEastAsia" w:cstheme="minorEastAsia"/>
        </w:rPr>
        <w:t>评分标准</w:t>
      </w:r>
    </w:p>
    <w:p>
      <w:pPr>
        <w:pStyle w:val="16"/>
        <w:numPr>
          <w:ilvl w:val="0"/>
          <w:numId w:val="6"/>
        </w:numPr>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投标报价：见详细评审表。</w:t>
      </w:r>
      <w:bookmarkStart w:id="313" w:name="3.评标程序"/>
      <w:bookmarkEnd w:id="313"/>
      <w:bookmarkStart w:id="314" w:name="_Toc32121"/>
    </w:p>
    <w:p>
      <w:pPr>
        <w:pStyle w:val="6"/>
        <w:tabs>
          <w:tab w:val="left" w:pos="1008"/>
        </w:tabs>
        <w:spacing w:line="360" w:lineRule="auto"/>
        <w:ind w:left="0" w:firstLine="0"/>
        <w:rPr>
          <w:rFonts w:asciiTheme="minorEastAsia" w:hAnsiTheme="minorEastAsia" w:eastAsiaTheme="minorEastAsia" w:cstheme="minorEastAsia"/>
          <w:b/>
          <w:bCs/>
          <w:spacing w:val="15"/>
          <w:sz w:val="21"/>
          <w:szCs w:val="21"/>
          <w:lang w:val="en-US"/>
        </w:rPr>
      </w:pPr>
      <w:bookmarkStart w:id="315" w:name="_Toc113958425"/>
      <w:bookmarkStart w:id="316" w:name="_Toc21914"/>
      <w:r>
        <w:rPr>
          <w:rFonts w:hint="eastAsia" w:asciiTheme="minorEastAsia" w:hAnsiTheme="minorEastAsia" w:eastAsiaTheme="minorEastAsia" w:cstheme="minorEastAsia"/>
          <w:b/>
          <w:bCs/>
          <w:spacing w:val="15"/>
          <w:sz w:val="21"/>
          <w:szCs w:val="21"/>
          <w:lang w:val="en-US"/>
        </w:rPr>
        <w:t>3.评标程序</w:t>
      </w:r>
      <w:bookmarkEnd w:id="314"/>
      <w:bookmarkEnd w:id="315"/>
      <w:bookmarkEnd w:id="316"/>
    </w:p>
    <w:p>
      <w:pPr>
        <w:pStyle w:val="7"/>
        <w:spacing w:line="360" w:lineRule="auto"/>
        <w:ind w:left="0" w:firstLine="0"/>
        <w:rPr>
          <w:sz w:val="21"/>
        </w:rPr>
      </w:pPr>
      <w:bookmarkStart w:id="317" w:name="3.1_资格评审"/>
      <w:bookmarkEnd w:id="317"/>
      <w:bookmarkStart w:id="318" w:name="_Toc13927"/>
      <w:bookmarkStart w:id="319" w:name="_Toc113958426"/>
      <w:r>
        <w:rPr>
          <w:rFonts w:hint="eastAsia"/>
          <w:sz w:val="21"/>
        </w:rPr>
        <w:t>3.1</w:t>
      </w:r>
      <w:r>
        <w:rPr>
          <w:sz w:val="21"/>
        </w:rPr>
        <w:t xml:space="preserve"> </w:t>
      </w:r>
      <w:r>
        <w:rPr>
          <w:rFonts w:hint="eastAsia"/>
          <w:sz w:val="21"/>
        </w:rPr>
        <w:t>资格评审</w:t>
      </w:r>
      <w:bookmarkEnd w:id="318"/>
      <w:bookmarkEnd w:id="319"/>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3.1.1</w:t>
      </w:r>
      <w:r>
        <w:rPr>
          <w:rFonts w:hint="eastAsia" w:asciiTheme="minorEastAsia" w:hAnsiTheme="minorEastAsia" w:eastAsiaTheme="minorEastAsia" w:cstheme="minorEastAsia"/>
        </w:rPr>
        <w:t>评标委员会依据本章资格评审基本条件表规定的评审标准对投标文件进行初步评审。有一项不符合评审标准的，评标委员会应当否决其投标。</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3.1.2</w:t>
      </w:r>
      <w:r>
        <w:rPr>
          <w:rFonts w:hint="eastAsia" w:asciiTheme="minorEastAsia" w:hAnsiTheme="minorEastAsia" w:eastAsiaTheme="minorEastAsia" w:cstheme="minorEastAsia"/>
        </w:rPr>
        <w:t>投标人有以下情形之一的，评标委员会应当否决其投标：</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1</w:t>
      </w:r>
      <w:r>
        <w:rPr>
          <w:rFonts w:hint="eastAsia" w:asciiTheme="minorEastAsia" w:hAnsiTheme="minorEastAsia" w:eastAsiaTheme="minorEastAsia" w:cstheme="minorEastAsia"/>
        </w:rPr>
        <w:t>）串通投标或弄虚作假或有其他违法行为的；</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）不按评标委员会要求澄清、说明或补正的。</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3.1.3</w:t>
      </w:r>
      <w:r>
        <w:rPr>
          <w:rFonts w:hint="eastAsia" w:asciiTheme="minorEastAsia" w:hAnsiTheme="minorEastAsia" w:eastAsiaTheme="minorEastAsia" w:cstheme="minorEastAsia"/>
        </w:rPr>
        <w:t>投标报价有算术错误的，评标委员会按以下原则对投标报价进行修正，修正的价格经投标人书面确认后具有约束力。投标人不接受修正价格的，评标委员会应当否决其投标。</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（1）投标文件中的大写金额与小写金额不一致的，以大写金额为准；</w:t>
      </w:r>
    </w:p>
    <w:p>
      <w:pPr>
        <w:pStyle w:val="7"/>
        <w:spacing w:line="360" w:lineRule="auto"/>
        <w:ind w:left="0" w:firstLine="0"/>
        <w:rPr>
          <w:sz w:val="21"/>
        </w:rPr>
      </w:pPr>
      <w:bookmarkStart w:id="320" w:name="3.2_详细评审"/>
      <w:bookmarkEnd w:id="320"/>
      <w:bookmarkStart w:id="321" w:name="_Toc12692"/>
      <w:bookmarkStart w:id="322" w:name="_Toc113958427"/>
      <w:bookmarkStart w:id="323" w:name="_Toc23734"/>
      <w:r>
        <w:rPr>
          <w:rFonts w:hint="eastAsia"/>
          <w:sz w:val="21"/>
        </w:rPr>
        <w:t>3.2 详细评审</w:t>
      </w:r>
      <w:bookmarkEnd w:id="321"/>
      <w:bookmarkEnd w:id="322"/>
      <w:bookmarkEnd w:id="323"/>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3.2.1</w:t>
      </w:r>
      <w:r>
        <w:rPr>
          <w:rFonts w:hint="eastAsia" w:asciiTheme="minorEastAsia" w:hAnsiTheme="minorEastAsia" w:eastAsiaTheme="minorEastAsia" w:cstheme="minorEastAsia"/>
        </w:rPr>
        <w:t>评标委员会按本章第 2.2款规定的量化因素和分值进行打分，并计算出综合评估得分。</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技术详细评审标准：</w:t>
      </w:r>
    </w:p>
    <w:p>
      <w:pPr>
        <w:pStyle w:val="16"/>
        <w:spacing w:before="8" w:line="360" w:lineRule="auto"/>
        <w:ind w:firstLine="420" w:firstLineChars="200"/>
        <w:jc w:val="both"/>
      </w:pPr>
      <w:r>
        <w:rPr>
          <w:rFonts w:hint="eastAsia"/>
        </w:rPr>
        <w:t>①按本章第 2.2.4（1）目规定的评审因素和分值对企业实力计算出得分 A；</w:t>
      </w:r>
    </w:p>
    <w:p>
      <w:pPr>
        <w:pStyle w:val="16"/>
        <w:spacing w:before="8" w:line="360" w:lineRule="auto"/>
        <w:ind w:firstLine="420" w:firstLineChars="200"/>
        <w:jc w:val="both"/>
      </w:pPr>
      <w:r>
        <w:rPr>
          <w:rFonts w:hint="eastAsia"/>
        </w:rPr>
        <w:t>②按本章第 2.2.4（2）目规定的评审因素和分值对设计方案计算出得分 B；</w:t>
      </w:r>
    </w:p>
    <w:p>
      <w:pPr>
        <w:pStyle w:val="16"/>
        <w:spacing w:before="8" w:line="360" w:lineRule="auto"/>
        <w:ind w:firstLine="420" w:firstLineChars="200"/>
        <w:jc w:val="both"/>
      </w:pPr>
      <w:r>
        <w:rPr>
          <w:rFonts w:hint="eastAsia"/>
        </w:rPr>
        <w:t>③按本章第 2.2.4（3）目规定的评审因素和分值对</w:t>
      </w:r>
      <w:r>
        <w:rPr>
          <w:rFonts w:hint="eastAsia"/>
          <w:lang w:val="en-US"/>
        </w:rPr>
        <w:t>施工</w:t>
      </w:r>
      <w:r>
        <w:rPr>
          <w:rFonts w:hint="eastAsia"/>
        </w:rPr>
        <w:t xml:space="preserve">方案计算出得分 C；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商务详细评审标准</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rPr>
        <w:t>按本章第 2.2.4（4）目规定的评审因素和分值对投标报价计算出得分 D（D1+D2）；</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3.2.2</w:t>
      </w:r>
      <w:r>
        <w:rPr>
          <w:rFonts w:hint="eastAsia" w:asciiTheme="minorEastAsia" w:hAnsiTheme="minorEastAsia" w:eastAsiaTheme="minorEastAsia" w:cstheme="minorEastAsia"/>
        </w:rPr>
        <w:t>评分分值计算保留小数点后三位，小数点后第四位“四舍五入”。</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3.2.3</w:t>
      </w:r>
      <w:r>
        <w:rPr>
          <w:rFonts w:hint="eastAsia" w:asciiTheme="minorEastAsia" w:hAnsiTheme="minorEastAsia" w:eastAsiaTheme="minorEastAsia" w:cstheme="minorEastAsia"/>
        </w:rPr>
        <w:t>投标人最终得分=</w:t>
      </w:r>
      <w:r>
        <w:rPr>
          <w:rFonts w:hint="eastAsia"/>
        </w:rPr>
        <w:t>A+B+C+D</w:t>
      </w:r>
      <w:r>
        <w:rPr>
          <w:rFonts w:hint="eastAsia" w:asciiTheme="minorEastAsia" w:hAnsiTheme="minorEastAsia" w:eastAsiaTheme="minorEastAsia" w:cstheme="minorEastAsia"/>
        </w:rPr>
        <w:t>。</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3.2.4</w:t>
      </w:r>
      <w:r>
        <w:rPr>
          <w:rFonts w:hint="eastAsia" w:asciiTheme="minorEastAsia" w:hAnsiTheme="minorEastAsia" w:eastAsiaTheme="minorEastAsia" w:cstheme="minorEastAsia"/>
        </w:rPr>
        <w:t>评标委员会发现投标人的报价明显低于其他投标报价，应当要求该投标人作出书面说明并提供相应的证明材料。投标人不能合理说明或者不能提供相应证明材料的，评标委员会应当认定该投标人以低于成本报价竞标，应当否决其投标。</w:t>
      </w:r>
    </w:p>
    <w:p>
      <w:pPr>
        <w:pStyle w:val="7"/>
        <w:spacing w:line="360" w:lineRule="auto"/>
        <w:ind w:left="0" w:firstLine="0"/>
        <w:rPr>
          <w:sz w:val="21"/>
        </w:rPr>
      </w:pPr>
      <w:bookmarkStart w:id="324" w:name="3.3_投标文件的澄清和补正"/>
      <w:bookmarkEnd w:id="324"/>
      <w:bookmarkStart w:id="325" w:name="_Toc17730"/>
      <w:bookmarkStart w:id="326" w:name="_Toc113958428"/>
      <w:bookmarkStart w:id="327" w:name="_Toc24535"/>
      <w:r>
        <w:rPr>
          <w:rFonts w:hint="eastAsia"/>
          <w:sz w:val="21"/>
        </w:rPr>
        <w:t>3.3 投标文件的澄清和补正</w:t>
      </w:r>
      <w:bookmarkEnd w:id="325"/>
      <w:bookmarkEnd w:id="326"/>
      <w:bookmarkEnd w:id="327"/>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3.3.1</w:t>
      </w:r>
      <w:r>
        <w:rPr>
          <w:rFonts w:hint="eastAsia" w:asciiTheme="minorEastAsia" w:hAnsiTheme="minorEastAsia" w:eastAsiaTheme="minorEastAsia" w:cstheme="minorEastAsia"/>
        </w:rPr>
        <w:t>在评标过程中，评标委员会可以书面形式要求投标人对所提交投标文件中不明确的内容进行书面澄清或说明，或者对细微偏差进行补正。评标委员会不接受投标人主动提出的澄清、说明或补正。</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3.3.2</w:t>
      </w:r>
      <w:r>
        <w:rPr>
          <w:rFonts w:hint="eastAsia" w:asciiTheme="minorEastAsia" w:hAnsiTheme="minorEastAsia" w:eastAsiaTheme="minorEastAsia" w:cstheme="minorEastAsia"/>
        </w:rPr>
        <w:t>澄清、说明和补正不得改变投标文件的实质性内容。投标人的书面澄清、说明和补正属于投标文件的组成部分。</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3.3.3</w:t>
      </w:r>
      <w:r>
        <w:rPr>
          <w:rFonts w:hint="eastAsia" w:asciiTheme="minorEastAsia" w:hAnsiTheme="minorEastAsia" w:eastAsiaTheme="minorEastAsia" w:cstheme="minorEastAsia"/>
        </w:rPr>
        <w:t>评标委员会对投标人提交的澄清、说明或补正有疑问的，可以要求投标人进一步澄清、说明或补正，直至满足评标委员会的要求。</w:t>
      </w:r>
    </w:p>
    <w:p>
      <w:pPr>
        <w:pStyle w:val="7"/>
        <w:spacing w:line="360" w:lineRule="auto"/>
        <w:ind w:left="0" w:firstLine="0"/>
        <w:rPr>
          <w:sz w:val="21"/>
        </w:rPr>
      </w:pPr>
      <w:bookmarkStart w:id="328" w:name="3.4_评标结果"/>
      <w:bookmarkEnd w:id="328"/>
      <w:bookmarkStart w:id="329" w:name="_Toc113958429"/>
      <w:bookmarkStart w:id="330" w:name="_Toc17339"/>
      <w:bookmarkStart w:id="331" w:name="_Toc16554"/>
      <w:r>
        <w:rPr>
          <w:rFonts w:hint="eastAsia"/>
          <w:sz w:val="21"/>
        </w:rPr>
        <w:t>3.4 评标结果</w:t>
      </w:r>
      <w:bookmarkEnd w:id="329"/>
      <w:bookmarkEnd w:id="330"/>
      <w:bookmarkEnd w:id="331"/>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3.4.1</w:t>
      </w:r>
      <w:r>
        <w:rPr>
          <w:rFonts w:hint="eastAsia" w:asciiTheme="minorEastAsia" w:hAnsiTheme="minorEastAsia" w:eastAsiaTheme="minorEastAsia" w:cstheme="minorEastAsia"/>
        </w:rPr>
        <w:t>评标委员会按照得分由高到低的顺序推荐中标候选人（中标候选人排名不分先后）。</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3.4.2</w:t>
      </w:r>
      <w:r>
        <w:rPr>
          <w:rFonts w:hint="eastAsia" w:asciiTheme="minorEastAsia" w:hAnsiTheme="minorEastAsia" w:eastAsiaTheme="minorEastAsia" w:cstheme="minorEastAsia"/>
        </w:rPr>
        <w:t>评标委员会完成评标后，应当向招标人提交书面评标报告。</w:t>
      </w:r>
    </w:p>
    <w:p>
      <w:pPr>
        <w:pStyle w:val="7"/>
        <w:spacing w:line="360" w:lineRule="auto"/>
        <w:ind w:left="0" w:firstLine="0"/>
        <w:rPr>
          <w:sz w:val="21"/>
        </w:rPr>
      </w:pPr>
      <w:bookmarkStart w:id="332" w:name="_Toc8677"/>
      <w:bookmarkStart w:id="333" w:name="_Toc113958430"/>
      <w:r>
        <w:rPr>
          <w:rFonts w:hint="eastAsia"/>
          <w:sz w:val="21"/>
        </w:rPr>
        <w:t>3.5 定标遵循</w:t>
      </w:r>
      <w:bookmarkEnd w:id="332"/>
      <w:bookmarkEnd w:id="333"/>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充分竞争、公平公正、择优选优的原则。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3.5.1 中标候选人考察：招标人在定标前可视情决定是否对中标候选人及拟派项目负责人进行考察，考察可采取网上调查、书面函询或实地考察等方式，考察应组成考察组并形成书面考察报告。主要考察中标候选人的经营状况、履约能力、投标文件承诺事项的真实性进行定性的评价。若定标候选人的投标所用业绩、奖项等弄虚作假，是经营、财务状况发生较大变化或者存在违法行为，可能影响其履约能力的，招标人应如实记录并提交定标委员会参考。参与调查的人员不得作为定标成员。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3.5.2 定标委员会的组成：</w:t>
      </w:r>
      <w:r>
        <w:rPr>
          <w:rFonts w:hint="eastAsia" w:asciiTheme="minorEastAsia" w:hAnsiTheme="minorEastAsia" w:eastAsiaTheme="minorEastAsia" w:cstheme="minorEastAsia"/>
        </w:rPr>
        <w:t>详见招标文件投标须知前附表。定标委员会的主要职责如下：</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一、查看评标委员会出具的评标报告、考察小组提供的考察报告等相关材料）（如有）； </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二、根据定标办法确定中标人；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三、出具定标报告等。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3.5.3 召开定标会议：招标人在中标候选人公示结束后 7 个工作日内召开定标会议，招标人定标前组织考察的，定标会议时间可以适当延迟。定标会议在市公共资源交易中心进行。定标委员会根据招标文件确定的方法定标，并形成定标报告。定标报告包括定标委员会对每名中标候选人的评分或投票情况、定标委员会集体商议意见及定标理由等。定标会议由定标委员会组长主持，全过程录音录像存档备查，定标委员会可视情邀请评标委员会的代表报告评标情况，供定标委员会参考。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定标会议按以下程序进行：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一、招标人介绍定标程序及须知，定标成员签署承诺书；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二、招标人介绍项目基本情况、招标情况；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三、评标专家小组组长或招标人介绍评标情况、专家评审意见及提醒注意事项等；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四、招标人结合对中标候选人的考察情况、样品评估及相关资料，汇报各中标候选人的优势、不足、风险等；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五、非定标相关人员离场(不含监督小组等工作人员) ；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六、形成定标报告。定标报告由定标委员会全体成员签字。对定标结果有不同意见的定标委员会成 员应当以书面形式说明其不同意见和理由，定标报告应当注明该不同意见。定标委员会成员拒绝在定标报告上签字又不书面说明其 不同意见和理由的，视为同意定标结果。定标报告包括但不限于以下内容：项目名称、招标人及代理机构名称、定标委员会成员名单、定标方法、中标人名称、定标相关会议记录等内容。 </w:t>
      </w:r>
    </w:p>
    <w:p>
      <w:pPr>
        <w:pStyle w:val="16"/>
        <w:spacing w:line="360" w:lineRule="auto"/>
        <w:ind w:firstLine="42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lang w:val="en-US"/>
        </w:rPr>
        <w:t xml:space="preserve">3.5.4 定标因素：1、参考评标委员会提供的书面评标报告中说明的各中标候选人投标文件的优势、缺点、风险等评审情况和推荐理由和评标委员会对其技术、质量、安全、工期的控制能力等提供技术咨询建议。2、结合考察小组对中标候选人考察：招标人在定标前可视情决定是否对中标候选人及拟派项目负 责人进行考察，考察可采取网上调查、书面函询或实地考察等方式，考察应组成考察小组并形成书面考察报告。主要考察中标候选人的经营状况、履约能力、业绩、投标文件承诺事项的真实性进行定性的评价。若定标候选人的投标所用业绩、奖项等弄虚作假，或是经营、财务状况发生较大变化或者存在违法行为，可能影响其履约能力的，招标人应如实记录并提交定标委员会参考。参与调查的人员不得作为定标成员。 </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3.5.5 集体票决法：定标委员会成员对各中标候选人进行评审并比较后，进行一次性票决排名。票决采取无记名投票计分法，按总票数由高到低进行排名。得票数相同且影响中标人确定及排名，由定标委员会对票数相同的单位进行再次票决确定排名。由定标委员会确定总票数最高的中标候选人为中标人。 </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3.5.6 中标(定标)结果公告。招标人自定标会议结束之日起 2 日内公告中标(定标)结果，公告期为2日。公告载明中标人的名称、中标价格、质量、工期、定标时间及定标结果、提出异议的渠道和方式。 </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3.5.7 异议与投诉。中标候选人对中标(定标)结果有异议的,应当在公告期内提出。异议和投诉改变中标(定标)结果的，应重新发布中标(定标)结果公告。 </w:t>
      </w:r>
    </w:p>
    <w:p>
      <w:pPr>
        <w:pStyle w:val="16"/>
        <w:spacing w:line="360" w:lineRule="auto"/>
        <w:ind w:firstLine="420" w:firstLineChars="200"/>
        <w:jc w:val="both"/>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 xml:space="preserve">3.5.8 中标通知书发放。招标人应当自确定中标人之日起 15 日内发出中标通知书，并自确定中标人之日起 15 日内，向招投标行政主管部门提交有关招标投标情况的书面报告。 </w:t>
      </w:r>
    </w:p>
    <w:p>
      <w:pPr>
        <w:pStyle w:val="16"/>
        <w:spacing w:line="360" w:lineRule="auto"/>
        <w:ind w:firstLine="420" w:firstLineChars="200"/>
        <w:jc w:val="both"/>
        <w:rPr>
          <w:rFonts w:asciiTheme="minorEastAsia" w:hAnsiTheme="minorEastAsia" w:eastAsiaTheme="minorEastAsia" w:cstheme="minorEastAsia"/>
          <w:lang w:val="en-US"/>
        </w:rPr>
        <w:sectPr>
          <w:pgSz w:w="11906" w:h="16838"/>
          <w:pgMar w:top="1440" w:right="1800" w:bottom="1440" w:left="1800" w:header="720" w:footer="850" w:gutter="0"/>
          <w:cols w:space="0" w:num="1"/>
          <w:docGrid w:linePitch="326" w:charSpace="0"/>
        </w:sectPr>
      </w:pPr>
      <w:r>
        <w:rPr>
          <w:rFonts w:hint="eastAsia" w:asciiTheme="minorEastAsia" w:hAnsiTheme="minorEastAsia" w:eastAsiaTheme="minorEastAsia" w:cstheme="minorEastAsia"/>
          <w:lang w:val="en-US"/>
        </w:rPr>
        <w:t xml:space="preserve">3.5.9 重新定标或重新招标。中标人放弃中标、因不可抗力不能履行合同、未在招标文件的规定期限内提供履约担保的，或者被查实存在影响中标结果的违法行为等不符合中标条件的情形的，或者因异议和投诉取消中标资格的，招标人可以采用原定标办法，由原定标委员会在中标候选人名单中确定新的中标人，或者按照原定标会议确定的中标候选人排序依次确定新的中标人。其余中标候选人与招标人预期差距较大，或者对招标人明显不利的，可以重新招标。 </w:t>
      </w:r>
    </w:p>
    <w:p>
      <w:pPr>
        <w:pStyle w:val="5"/>
        <w:numPr>
          <w:ilvl w:val="0"/>
          <w:numId w:val="4"/>
        </w:numPr>
        <w:spacing w:before="0" w:line="360" w:lineRule="auto"/>
        <w:ind w:left="0"/>
        <w:jc w:val="center"/>
        <w:rPr>
          <w:rFonts w:asciiTheme="minorEastAsia" w:hAnsiTheme="minorEastAsia" w:eastAsiaTheme="minorEastAsia" w:cstheme="minorEastAsia"/>
          <w:sz w:val="32"/>
          <w:szCs w:val="32"/>
        </w:rPr>
      </w:pPr>
      <w:bookmarkStart w:id="334" w:name="_Toc144974577"/>
      <w:bookmarkStart w:id="335" w:name="_Toc152045609"/>
      <w:bookmarkStart w:id="336" w:name="_Toc13526"/>
      <w:bookmarkStart w:id="337" w:name="_Toc3949"/>
      <w:bookmarkStart w:id="338" w:name="_Toc247514033"/>
      <w:bookmarkStart w:id="339" w:name="_Toc247527634"/>
      <w:bookmarkStart w:id="340" w:name="_Toc152042387"/>
      <w:bookmarkStart w:id="341" w:name="_Toc6087"/>
      <w:r>
        <w:rPr>
          <w:rFonts w:hint="eastAsia" w:asciiTheme="minorEastAsia" w:hAnsiTheme="minorEastAsia" w:eastAsiaTheme="minorEastAsia" w:cstheme="minorEastAsia"/>
          <w:sz w:val="32"/>
          <w:szCs w:val="32"/>
        </w:rPr>
        <w:t>合同条款及格式</w:t>
      </w:r>
      <w:bookmarkEnd w:id="334"/>
      <w:bookmarkEnd w:id="335"/>
      <w:bookmarkEnd w:id="336"/>
      <w:bookmarkEnd w:id="337"/>
      <w:bookmarkEnd w:id="338"/>
      <w:bookmarkEnd w:id="339"/>
      <w:bookmarkEnd w:id="340"/>
      <w:bookmarkStart w:id="342" w:name="_Toc144974578"/>
      <w:bookmarkStart w:id="343" w:name="_Toc152045610"/>
      <w:bookmarkStart w:id="344" w:name="_Toc247514034"/>
      <w:bookmarkStart w:id="345" w:name="_Toc184635097"/>
      <w:bookmarkStart w:id="346" w:name="_Toc247527635"/>
      <w:bookmarkStart w:id="347" w:name="_Toc152042388"/>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28"/>
          <w:szCs w:val="40"/>
        </w:rPr>
      </w:pPr>
      <w:bookmarkStart w:id="348" w:name="_Toc21224"/>
      <w:bookmarkStart w:id="349" w:name="_Toc113958432"/>
      <w:bookmarkStart w:id="350" w:name="_Toc25034"/>
      <w:r>
        <w:rPr>
          <w:rFonts w:hint="eastAsia" w:asciiTheme="minorEastAsia" w:hAnsiTheme="minorEastAsia" w:eastAsiaTheme="minorEastAsia" w:cstheme="minorEastAsia"/>
          <w:sz w:val="28"/>
          <w:szCs w:val="40"/>
        </w:rPr>
        <w:t>第一部分 合同协议书</w:t>
      </w:r>
      <w:bookmarkEnd w:id="348"/>
      <w:bookmarkEnd w:id="349"/>
    </w:p>
    <w:p>
      <w:pPr>
        <w:adjustRightInd w:val="0"/>
        <w:snapToGrid w:val="0"/>
        <w:spacing w:line="420" w:lineRule="exact"/>
        <w:ind w:firstLine="60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发包人（全称）：</w:t>
      </w:r>
      <w:r>
        <w:rPr>
          <w:rFonts w:hint="eastAsia" w:asciiTheme="minorEastAsia" w:hAnsiTheme="minorEastAsia" w:eastAsiaTheme="minorEastAsia" w:cstheme="minorEastAsia"/>
          <w:sz w:val="21"/>
          <w:szCs w:val="21"/>
          <w:u w:val="single"/>
        </w:rPr>
        <w:t xml:space="preserve">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承包人（全称）：</w:t>
      </w:r>
      <w:r>
        <w:rPr>
          <w:rFonts w:hint="eastAsia" w:asciiTheme="minorEastAsia" w:hAnsiTheme="minorEastAsia" w:eastAsiaTheme="minorEastAsia" w:cstheme="minorEastAsia"/>
          <w:sz w:val="21"/>
          <w:szCs w:val="21"/>
          <w:u w:val="single"/>
        </w:rPr>
        <w:t xml:space="preserve">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根据《中华人民共和国民法典》、《中华人民共和国建筑法》及有关法律规定，遵循平等、自愿、公平和诚实信用的原则，双方就</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项目的工程总承包及有关事项协商一致，共同达成如下协议：</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51" w:name="_Toc5745"/>
      <w:bookmarkStart w:id="352" w:name="_Toc113958433"/>
      <w:bookmarkStart w:id="353" w:name="_Toc54862165"/>
      <w:r>
        <w:rPr>
          <w:rFonts w:hint="eastAsia" w:asciiTheme="minorEastAsia" w:hAnsiTheme="minorEastAsia" w:eastAsiaTheme="minorEastAsia" w:cstheme="minorEastAsia"/>
          <w:bCs/>
          <w:sz w:val="21"/>
          <w:szCs w:val="21"/>
        </w:rPr>
        <w:t>一、工程概况</w:t>
      </w:r>
      <w:bookmarkEnd w:id="351"/>
      <w:bookmarkEnd w:id="352"/>
      <w:bookmarkEnd w:id="353"/>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工程名称：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工程地点：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工程审批、核准或备案文号：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资金来源：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工程内容及规模：</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工程承包范围：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54" w:name="_Toc19274"/>
      <w:bookmarkStart w:id="355" w:name="_Toc113958434"/>
      <w:bookmarkStart w:id="356" w:name="_Toc54862166"/>
      <w:r>
        <w:rPr>
          <w:rFonts w:hint="eastAsia" w:asciiTheme="minorEastAsia" w:hAnsiTheme="minorEastAsia" w:eastAsiaTheme="minorEastAsia" w:cstheme="minorEastAsia"/>
          <w:bCs/>
          <w:sz w:val="21"/>
          <w:szCs w:val="21"/>
        </w:rPr>
        <w:t>二、合同工期</w:t>
      </w:r>
      <w:bookmarkEnd w:id="354"/>
      <w:bookmarkEnd w:id="355"/>
      <w:bookmarkEnd w:id="356"/>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计划开始工作日期：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计划开始现场施工日期：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计划竣工日期：</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工期总日历天数：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天，工期总日历天数与根据前述计划日期计算的工期天数不一致的，以工期总日历天数为准。</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57" w:name="_Toc113958435"/>
      <w:bookmarkStart w:id="358" w:name="_Toc25683"/>
      <w:bookmarkStart w:id="359" w:name="_Toc54862167"/>
      <w:r>
        <w:rPr>
          <w:rFonts w:hint="eastAsia" w:asciiTheme="minorEastAsia" w:hAnsiTheme="minorEastAsia" w:eastAsiaTheme="minorEastAsia" w:cstheme="minorEastAsia"/>
          <w:bCs/>
          <w:sz w:val="21"/>
          <w:szCs w:val="21"/>
        </w:rPr>
        <w:t>三、质量标准</w:t>
      </w:r>
      <w:bookmarkEnd w:id="357"/>
      <w:bookmarkEnd w:id="358"/>
      <w:bookmarkEnd w:id="359"/>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工程质量标准：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60" w:name="_Toc113958436"/>
      <w:bookmarkStart w:id="361" w:name="_Toc54862168"/>
      <w:bookmarkStart w:id="362" w:name="_Toc4274"/>
      <w:r>
        <w:rPr>
          <w:rFonts w:hint="eastAsia" w:asciiTheme="minorEastAsia" w:hAnsiTheme="minorEastAsia" w:eastAsiaTheme="minorEastAsia" w:cstheme="minorEastAsia"/>
          <w:bCs/>
          <w:sz w:val="21"/>
          <w:szCs w:val="21"/>
        </w:rPr>
        <w:t>四、签约合同价与合同价格形式</w:t>
      </w:r>
      <w:bookmarkEnd w:id="360"/>
      <w:bookmarkEnd w:id="361"/>
      <w:bookmarkEnd w:id="362"/>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签约合同价（含税）为：</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人民币（大写)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具体构成详见价格清单。其中：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设计费（含税）：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人民币（大写)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元）；适用税率：</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%，税金为人民币（大写)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元）；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设备购置费（含税）：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人民币（大写)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元）；适用税率：</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%，税金为人民币（大写)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元）； </w:t>
      </w:r>
    </w:p>
    <w:p>
      <w:pPr>
        <w:adjustRightInd w:val="0"/>
        <w:snapToGrid w:val="0"/>
        <w:spacing w:line="420" w:lineRule="exact"/>
        <w:ind w:firstLine="600"/>
        <w:rPr>
          <w:rFonts w:asciiTheme="minorEastAsia" w:hAnsiTheme="minorEastAsia" w:eastAsiaTheme="minorEastAsia" w:cstheme="minorEastAsia"/>
          <w:sz w:val="21"/>
          <w:szCs w:val="21"/>
        </w:rPr>
      </w:pP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建筑安装工程费（含税）：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元）；适用税率：</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%，税金为人民币（大写)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元）；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暂估价（含税）：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暂列金额（含税）：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双方约定的其他费用（含税）：</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元）；适用税率：</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%，税金为人民币（大写)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合同价格形式：</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合同价格形式为总价合同，除根据合同约定的在工程实施过程中需进行增减的款项外，合同价格不予调整，但合同当事人另有约定的除外。</w:t>
      </w:r>
    </w:p>
    <w:p>
      <w:pPr>
        <w:kinsoku w:val="0"/>
        <w:adjustRightInd w:val="0"/>
        <w:snapToGrid w:val="0"/>
        <w:spacing w:line="420" w:lineRule="exact"/>
        <w:ind w:left="275" w:leftChars="125"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合同当事人对合同价格形式的其他约定：</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63" w:name="_Toc113958437"/>
      <w:bookmarkStart w:id="364" w:name="_Toc54862169"/>
      <w:bookmarkStart w:id="365" w:name="_Toc2708"/>
      <w:r>
        <w:rPr>
          <w:rFonts w:hint="eastAsia" w:asciiTheme="minorEastAsia" w:hAnsiTheme="minorEastAsia" w:eastAsiaTheme="minorEastAsia" w:cstheme="minorEastAsia"/>
          <w:bCs/>
          <w:sz w:val="21"/>
          <w:szCs w:val="21"/>
        </w:rPr>
        <w:t>五、工程总承包项目经理</w:t>
      </w:r>
      <w:bookmarkEnd w:id="363"/>
      <w:bookmarkEnd w:id="364"/>
      <w:bookmarkEnd w:id="365"/>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工程总承包项目经理：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66" w:name="_Toc113958438"/>
      <w:bookmarkStart w:id="367" w:name="_Toc54862170"/>
      <w:bookmarkStart w:id="368" w:name="_Toc12190"/>
      <w:r>
        <w:rPr>
          <w:rFonts w:hint="eastAsia" w:asciiTheme="minorEastAsia" w:hAnsiTheme="minorEastAsia" w:eastAsiaTheme="minorEastAsia" w:cstheme="minorEastAsia"/>
          <w:bCs/>
          <w:sz w:val="21"/>
          <w:szCs w:val="21"/>
        </w:rPr>
        <w:t>六、合同文件构成</w:t>
      </w:r>
      <w:bookmarkEnd w:id="366"/>
      <w:bookmarkEnd w:id="367"/>
      <w:bookmarkEnd w:id="368"/>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本协议书与下列文件一起构成合同文件：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中标通知书（如果有）；</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投标函及投标函附录（如果有）；</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专用合同条件及《发包人要求》等附件；</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通用合同条件；</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（5） 承包人建议书； </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价格清单；</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双方约定的其他合同文件。</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上述各项合同文件包括双方就该项合同文件所作出的补充和修改，属于同一类内容的合同文件应以最新签署的为准。专用合同条件及其附件须经合同当事人签字或盖章。</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69" w:name="_Toc6496"/>
      <w:bookmarkStart w:id="370" w:name="_Toc54862171"/>
      <w:bookmarkStart w:id="371" w:name="_Toc113958439"/>
      <w:r>
        <w:rPr>
          <w:rFonts w:hint="eastAsia" w:asciiTheme="minorEastAsia" w:hAnsiTheme="minorEastAsia" w:eastAsiaTheme="minorEastAsia" w:cstheme="minorEastAsia"/>
          <w:bCs/>
          <w:sz w:val="21"/>
          <w:szCs w:val="21"/>
        </w:rPr>
        <w:t>七、承诺</w:t>
      </w:r>
      <w:bookmarkEnd w:id="369"/>
      <w:bookmarkEnd w:id="370"/>
      <w:bookmarkEnd w:id="371"/>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发包人承诺按照法律规定履行项目审批手续、筹集工程建设资金并按照合同约定的期限和方式支付合同价款。</w:t>
      </w:r>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承包人承诺按照法律规定及合同约定组织完成工程的设计、采购和施工等工作，确保工程质量和安全，不进行转包及违法分包，并在缺陷责任期及保修期内承担相应的工程维修责任。</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72" w:name="_Toc24232"/>
      <w:bookmarkStart w:id="373" w:name="_Toc54862172"/>
      <w:bookmarkStart w:id="374" w:name="_Toc113958440"/>
      <w:r>
        <w:rPr>
          <w:rFonts w:hint="eastAsia" w:asciiTheme="minorEastAsia" w:hAnsiTheme="minorEastAsia" w:eastAsiaTheme="minorEastAsia" w:cstheme="minorEastAsia"/>
          <w:bCs/>
          <w:sz w:val="21"/>
          <w:szCs w:val="21"/>
        </w:rPr>
        <w:t>八、订立时间</w:t>
      </w:r>
      <w:bookmarkEnd w:id="372"/>
      <w:bookmarkEnd w:id="373"/>
      <w:bookmarkEnd w:id="374"/>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日订立。</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75" w:name="_Toc54862173"/>
      <w:bookmarkStart w:id="376" w:name="_Toc113958441"/>
      <w:bookmarkStart w:id="377" w:name="_Toc8093"/>
      <w:r>
        <w:rPr>
          <w:rFonts w:hint="eastAsia" w:asciiTheme="minorEastAsia" w:hAnsiTheme="minorEastAsia" w:eastAsiaTheme="minorEastAsia" w:cstheme="minorEastAsia"/>
          <w:bCs/>
          <w:sz w:val="21"/>
          <w:szCs w:val="21"/>
        </w:rPr>
        <w:t>九、订立地点</w:t>
      </w:r>
      <w:bookmarkEnd w:id="375"/>
      <w:bookmarkEnd w:id="376"/>
      <w:bookmarkEnd w:id="377"/>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订立。</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78" w:name="_Toc54862174"/>
      <w:bookmarkStart w:id="379" w:name="_Toc113958442"/>
      <w:bookmarkStart w:id="380" w:name="_Toc8451"/>
      <w:r>
        <w:rPr>
          <w:rFonts w:hint="eastAsia" w:asciiTheme="minorEastAsia" w:hAnsiTheme="minorEastAsia" w:eastAsiaTheme="minorEastAsia" w:cstheme="minorEastAsia"/>
          <w:bCs/>
          <w:sz w:val="21"/>
          <w:szCs w:val="21"/>
        </w:rPr>
        <w:t>十、合同生效</w:t>
      </w:r>
      <w:bookmarkEnd w:id="378"/>
      <w:bookmarkEnd w:id="379"/>
      <w:bookmarkEnd w:id="380"/>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本合同经双方签字或盖章后成立，并自</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生效。</w:t>
      </w:r>
    </w:p>
    <w:p>
      <w:pPr>
        <w:pStyle w:val="83"/>
        <w:numPr>
          <w:ilvl w:val="0"/>
          <w:numId w:val="0"/>
        </w:numPr>
        <w:adjustRightInd w:val="0"/>
        <w:snapToGrid w:val="0"/>
        <w:spacing w:line="420" w:lineRule="exact"/>
        <w:rPr>
          <w:rFonts w:asciiTheme="minorEastAsia" w:hAnsiTheme="minorEastAsia" w:eastAsiaTheme="minorEastAsia" w:cstheme="minorEastAsia"/>
          <w:bCs/>
          <w:sz w:val="21"/>
          <w:szCs w:val="21"/>
        </w:rPr>
      </w:pPr>
      <w:bookmarkStart w:id="381" w:name="_Toc113958443"/>
      <w:bookmarkStart w:id="382" w:name="_Toc54862175"/>
      <w:bookmarkStart w:id="383" w:name="_Toc11247"/>
      <w:r>
        <w:rPr>
          <w:rFonts w:hint="eastAsia" w:asciiTheme="minorEastAsia" w:hAnsiTheme="minorEastAsia" w:eastAsiaTheme="minorEastAsia" w:cstheme="minorEastAsia"/>
          <w:bCs/>
          <w:sz w:val="21"/>
          <w:szCs w:val="21"/>
        </w:rPr>
        <w:t>十一、合同份数</w:t>
      </w:r>
      <w:bookmarkEnd w:id="381"/>
      <w:bookmarkEnd w:id="382"/>
      <w:bookmarkEnd w:id="383"/>
    </w:p>
    <w:p>
      <w:pPr>
        <w:adjustRightInd w:val="0"/>
        <w:snapToGrid w:val="0"/>
        <w:spacing w:line="420" w:lineRule="exact"/>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本合同一式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份，均具有同等法律效力，发包人执</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份，承包人执</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w:t>
      </w:r>
    </w:p>
    <w:p>
      <w:pPr>
        <w:adjustRightInd w:val="0"/>
        <w:snapToGrid w:val="0"/>
        <w:spacing w:line="420" w:lineRule="exact"/>
        <w:ind w:firstLine="600"/>
        <w:rPr>
          <w:rFonts w:asciiTheme="minorEastAsia" w:hAnsiTheme="minorEastAsia" w:eastAsiaTheme="minorEastAsia" w:cstheme="minorEastAsia"/>
          <w:sz w:val="21"/>
          <w:szCs w:val="21"/>
        </w:rPr>
      </w:pPr>
    </w:p>
    <w:p>
      <w:pPr>
        <w:adjustRightInd w:val="0"/>
        <w:snapToGrid w:val="0"/>
        <w:spacing w:line="420" w:lineRule="exact"/>
        <w:ind w:firstLine="600"/>
        <w:rPr>
          <w:rFonts w:asciiTheme="minorEastAsia" w:hAnsiTheme="minorEastAsia" w:eastAsiaTheme="minorEastAsia" w:cstheme="minorEastAsia"/>
          <w:sz w:val="21"/>
          <w:szCs w:val="21"/>
        </w:rPr>
      </w:pPr>
    </w:p>
    <w:tbl>
      <w:tblPr>
        <w:tblStyle w:val="47"/>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Layout w:type="fixed"/>
          <w:tblCellMar>
            <w:top w:w="0" w:type="dxa"/>
            <w:left w:w="108" w:type="dxa"/>
            <w:bottom w:w="0" w:type="dxa"/>
            <w:right w:w="108" w:type="dxa"/>
          </w:tblCellMar>
        </w:tblPrEx>
        <w:tc>
          <w:tcPr>
            <w:tcW w:w="4507"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发包人：（公章）</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tc>
        <w:tc>
          <w:tcPr>
            <w:tcW w:w="4565"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承包人：（公章）</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tc>
      </w:tr>
      <w:tr>
        <w:tblPrEx>
          <w:tblLayout w:type="fixed"/>
          <w:tblCellMar>
            <w:top w:w="0" w:type="dxa"/>
            <w:left w:w="108" w:type="dxa"/>
            <w:bottom w:w="0" w:type="dxa"/>
            <w:right w:w="108" w:type="dxa"/>
          </w:tblCellMar>
        </w:tblPrEx>
        <w:tc>
          <w:tcPr>
            <w:tcW w:w="4507"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（签字或盖章）</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tc>
        <w:tc>
          <w:tcPr>
            <w:tcW w:w="4565"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（签字或盖章）</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p>
        </w:tc>
      </w:tr>
      <w:tr>
        <w:tblPrEx>
          <w:tblLayout w:type="fixed"/>
          <w:tblCellMar>
            <w:top w:w="0" w:type="dxa"/>
            <w:left w:w="108" w:type="dxa"/>
            <w:bottom w:w="0" w:type="dxa"/>
            <w:right w:w="108" w:type="dxa"/>
          </w:tblCellMar>
        </w:tblPrEx>
        <w:tc>
          <w:tcPr>
            <w:tcW w:w="4507"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传真： </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电子信箱：</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r>
              <w:rPr>
                <w:rFonts w:hint="eastAsia" w:asciiTheme="minorEastAsia" w:hAnsiTheme="minorEastAsia" w:eastAsiaTheme="minorEastAsia" w:cstheme="minorEastAsia"/>
                <w:kern w:val="0"/>
                <w:sz w:val="21"/>
                <w:szCs w:val="21"/>
                <w:u w:val="single"/>
              </w:rPr>
              <w:t xml:space="preserve">                       </w:t>
            </w:r>
          </w:p>
        </w:tc>
        <w:tc>
          <w:tcPr>
            <w:tcW w:w="4565" w:type="dxa"/>
            <w:shd w:val="clear" w:color="auto" w:fill="auto"/>
          </w:tcPr>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电子信箱：</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r>
              <w:rPr>
                <w:rFonts w:hint="eastAsia" w:asciiTheme="minorEastAsia" w:hAnsiTheme="minorEastAsia" w:eastAsiaTheme="minorEastAsia" w:cstheme="minorEastAsia"/>
                <w:kern w:val="0"/>
                <w:sz w:val="21"/>
                <w:szCs w:val="21"/>
                <w:u w:val="single"/>
              </w:rPr>
              <w:t xml:space="preserve">                   </w:t>
            </w:r>
          </w:p>
          <w:p>
            <w:pPr>
              <w:pStyle w:val="84"/>
              <w:framePr w:hSpace="0" w:wrap="auto" w:vAnchor="margin" w:hAnchor="text" w:yAlign="inline"/>
              <w:spacing w:after="5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r>
              <w:rPr>
                <w:rFonts w:hint="eastAsia" w:asciiTheme="minorEastAsia" w:hAnsiTheme="minorEastAsia" w:eastAsiaTheme="minorEastAsia" w:cstheme="minorEastAsia"/>
                <w:sz w:val="21"/>
                <w:szCs w:val="21"/>
                <w:u w:val="single"/>
              </w:rPr>
              <w:t xml:space="preserve">                       </w:t>
            </w:r>
          </w:p>
        </w:tc>
      </w:tr>
    </w:tbl>
    <w:p>
      <w:pPr>
        <w:adjustRightInd w:val="0"/>
        <w:snapToGrid w:val="0"/>
        <w:spacing w:line="420" w:lineRule="exact"/>
        <w:rPr>
          <w:rFonts w:asciiTheme="minorEastAsia" w:hAnsiTheme="minorEastAsia" w:eastAsiaTheme="minorEastAsia" w:cstheme="minorEastAsia"/>
          <w:sz w:val="21"/>
          <w:szCs w:val="21"/>
        </w:rPr>
        <w:sectPr>
          <w:pgSz w:w="11906" w:h="16838"/>
          <w:pgMar w:top="1440" w:right="1800" w:bottom="1440" w:left="1800" w:header="720" w:footer="850" w:gutter="0"/>
          <w:cols w:space="0" w:num="1"/>
          <w:docGrid w:linePitch="326" w:charSpace="0"/>
        </w:sectPr>
      </w:pPr>
      <w:r>
        <w:rPr>
          <w:rFonts w:hint="eastAsia" w:asciiTheme="minorEastAsia" w:hAnsiTheme="minorEastAsia" w:eastAsiaTheme="minorEastAsia" w:cstheme="minorEastAsia"/>
          <w:sz w:val="21"/>
          <w:szCs w:val="21"/>
        </w:rPr>
        <w:tab/>
      </w: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28"/>
          <w:szCs w:val="40"/>
        </w:rPr>
      </w:pPr>
      <w:bookmarkStart w:id="384" w:name="_Toc2563"/>
      <w:bookmarkStart w:id="385" w:name="_Toc54862176"/>
      <w:bookmarkStart w:id="386" w:name="_Toc113958444"/>
      <w:r>
        <w:rPr>
          <w:rFonts w:hint="eastAsia" w:asciiTheme="minorEastAsia" w:hAnsiTheme="minorEastAsia" w:eastAsiaTheme="minorEastAsia" w:cstheme="minorEastAsia"/>
          <w:sz w:val="28"/>
          <w:szCs w:val="40"/>
        </w:rPr>
        <w:t>第二部分 通用合同条件</w:t>
      </w:r>
      <w:bookmarkEnd w:id="384"/>
      <w:bookmarkEnd w:id="385"/>
      <w:bookmarkEnd w:id="386"/>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387" w:name="_Toc113958445"/>
      <w:bookmarkStart w:id="388" w:name="_Toc54862177"/>
      <w:bookmarkStart w:id="389" w:name="_Toc11952"/>
      <w:bookmarkStart w:id="390" w:name="_Ref508893699"/>
      <w:bookmarkStart w:id="391" w:name="_Ref509040831"/>
      <w:bookmarkStart w:id="392" w:name="_Ref509040826"/>
      <w:r>
        <w:rPr>
          <w:rFonts w:hint="eastAsia" w:asciiTheme="minorEastAsia" w:hAnsiTheme="minorEastAsia" w:eastAsiaTheme="minorEastAsia" w:cstheme="minorEastAsia"/>
          <w:bCs/>
          <w:sz w:val="21"/>
          <w:szCs w:val="21"/>
        </w:rPr>
        <w:t>第1条 一般约定</w:t>
      </w:r>
      <w:bookmarkEnd w:id="387"/>
      <w:bookmarkEnd w:id="388"/>
      <w:bookmarkEnd w:id="389"/>
      <w:bookmarkEnd w:id="390"/>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393" w:name="_Ref523741474"/>
      <w:bookmarkStart w:id="394" w:name="_Toc54862178"/>
      <w:bookmarkStart w:id="395" w:name="_Toc4512"/>
      <w:bookmarkStart w:id="396" w:name="_Ref523741471"/>
      <w:bookmarkStart w:id="397" w:name="_Toc113958446"/>
      <w:r>
        <w:rPr>
          <w:rFonts w:hint="eastAsia" w:asciiTheme="minorEastAsia" w:hAnsiTheme="minorEastAsia" w:eastAsiaTheme="minorEastAsia" w:cstheme="minorEastAsia"/>
          <w:b w:val="0"/>
          <w:bCs/>
          <w:sz w:val="21"/>
          <w:szCs w:val="21"/>
        </w:rPr>
        <w:t>1.1 词语定义和解释</w:t>
      </w:r>
      <w:bookmarkEnd w:id="391"/>
      <w:bookmarkEnd w:id="392"/>
      <w:bookmarkEnd w:id="393"/>
      <w:bookmarkEnd w:id="394"/>
      <w:bookmarkEnd w:id="395"/>
      <w:bookmarkEnd w:id="396"/>
      <w:bookmarkEnd w:id="39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合同协议书、通用合同条件、专用合同条件中的下列词语应具有本款所赋予的含义：</w:t>
      </w:r>
    </w:p>
    <w:p>
      <w:pPr>
        <w:pStyle w:val="87"/>
        <w:spacing w:afterLines="0"/>
        <w:ind w:left="0" w:firstLine="420" w:firstLineChars="200"/>
        <w:rPr>
          <w:rFonts w:asciiTheme="minorEastAsia" w:hAnsiTheme="minorEastAsia" w:eastAsiaTheme="minorEastAsia" w:cstheme="minorEastAsia"/>
          <w:sz w:val="21"/>
        </w:rPr>
      </w:pPr>
      <w:bookmarkStart w:id="398" w:name="_Ref4757289"/>
      <w:bookmarkStart w:id="399" w:name="_Ref521288340"/>
      <w:r>
        <w:rPr>
          <w:rFonts w:hint="eastAsia" w:asciiTheme="minorEastAsia" w:hAnsiTheme="minorEastAsia" w:eastAsiaTheme="minorEastAsia" w:cstheme="minorEastAsia"/>
          <w:sz w:val="21"/>
        </w:rPr>
        <w:t>1.1.1 合同</w:t>
      </w:r>
      <w:bookmarkEnd w:id="398"/>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1.1.1.1 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1.1.1.2 合同协议书：是指构成合同的由发包人和承包人共同签署的称为“合同协议书”的书面文件。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1.1.1.3 中标通知书：是指构成合同的由发包人通知承包人中标的书面文件。中标通知书随附的澄清、说明、补正事项纪要等，是中标通知书的组成部分。</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1.1.1.4 投标函：是指构成合同的由承包人填写并签署的用于投标的称为“投标函”的文件。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1.1.1.5 投标函附录：是指构成合同的附在投标函后的称为“投标函附录”的文件。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1.1.1.6 《发包人要求》：指构成合同文件组成部分的名为《发包人要求》的文件，其中列明工程的目的、范围、设计与其他技术标准和要求，以及合同双方当事人约定对其所作的修改或补充。</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1.1.1.7 项目清单：是指发包人提供的载明工程总承包项目勘察费（如果有）、设计费、建筑安装工程费、设备购置费、暂估价、暂列金额和双方约定的其他费用的名称和相应数量等内容的项目明细。</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1.1.1.8 价格清单：指构成合同文件组成部分的由承包人按发包人提供的项目清单规定的格式和要求填写并标明价格的清单。</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1.1.1.9 承包人建议书：指构成合同文件组成部分的名为承包人建议书的文件。承包人建议书由承包人随投标函一起提交。</w:t>
      </w:r>
    </w:p>
    <w:p>
      <w:pPr>
        <w:pStyle w:val="88"/>
        <w:spacing w:afterLines="0"/>
        <w:ind w:left="0" w:firstLine="420" w:firstLineChars="200"/>
        <w:rPr>
          <w:rFonts w:asciiTheme="minorEastAsia" w:hAnsiTheme="minorEastAsia" w:eastAsiaTheme="minorEastAsia" w:cstheme="minorEastAsia"/>
          <w:sz w:val="21"/>
        </w:rPr>
      </w:pPr>
      <w:bookmarkStart w:id="400" w:name="_Ref4415300"/>
      <w:r>
        <w:rPr>
          <w:rFonts w:hint="eastAsia" w:asciiTheme="minorEastAsia" w:hAnsiTheme="minorEastAsia" w:eastAsiaTheme="minorEastAsia" w:cstheme="minorEastAsia"/>
          <w:sz w:val="21"/>
        </w:rPr>
        <w:t>1.1.1.10 其他合同文件：是指经合同当事人约定的与工程实施有关的具有合同约束力的文件或书面协议。合同当事人可以在专用合同条件中进行约定。</w:t>
      </w:r>
      <w:bookmarkEnd w:id="400"/>
    </w:p>
    <w:p>
      <w:pPr>
        <w:pStyle w:val="87"/>
        <w:spacing w:afterLines="0"/>
        <w:ind w:left="0" w:firstLine="420" w:firstLineChars="200"/>
        <w:rPr>
          <w:rFonts w:asciiTheme="minorEastAsia" w:hAnsiTheme="minorEastAsia" w:eastAsiaTheme="minorEastAsia" w:cstheme="minorEastAsia"/>
          <w:sz w:val="21"/>
        </w:rPr>
      </w:pPr>
      <w:bookmarkStart w:id="401" w:name="_Ref4757418"/>
      <w:r>
        <w:rPr>
          <w:rFonts w:hint="eastAsia" w:asciiTheme="minorEastAsia" w:hAnsiTheme="minorEastAsia" w:eastAsiaTheme="minorEastAsia" w:cstheme="minorEastAsia"/>
          <w:sz w:val="21"/>
        </w:rPr>
        <w:t>1.1.2 合同当事人及其他相关方</w:t>
      </w:r>
      <w:bookmarkEnd w:id="401"/>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1.1.2.1 合同当事人：是指发包人和（或）承包人。</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1.1.2.2 发包人：是指与承包人订立合同协议书的当事人及取得该当事人资格的合法继受人。本合同中“因发包人原因”里的“发包人”包括发包人及所有发包人人员。</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1.1.2.3 承包人：是指与发包人订立合同协议书的当事人及取得该当事人资格的合法继受人。</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1.1.2.4 联合体：是指经发包人同意由两个或两个以上法人或者其他组织组成的，作为承包人的临时机构。</w:t>
      </w:r>
    </w:p>
    <w:p>
      <w:pPr>
        <w:pStyle w:val="88"/>
        <w:spacing w:afterLines="0"/>
        <w:ind w:left="0" w:firstLine="420" w:firstLineChars="200"/>
        <w:rPr>
          <w:rFonts w:asciiTheme="minorEastAsia" w:hAnsiTheme="minorEastAsia" w:eastAsiaTheme="minorEastAsia" w:cstheme="minorEastAsia"/>
          <w:sz w:val="21"/>
        </w:rPr>
      </w:pPr>
      <w:bookmarkStart w:id="402" w:name="_Ref4420046"/>
      <w:r>
        <w:rPr>
          <w:rFonts w:hint="eastAsia" w:asciiTheme="minorEastAsia" w:hAnsiTheme="minorEastAsia" w:eastAsiaTheme="minorEastAsia" w:cstheme="minorEastAsia"/>
          <w:sz w:val="21"/>
        </w:rPr>
        <w:t>1.1.2.5 发包人代表：是指由发包人任命并派驻工作现场，在发包人授权范围内行使发包人权利和履行发包人义务的人。</w:t>
      </w:r>
    </w:p>
    <w:p>
      <w:pPr>
        <w:pStyle w:val="88"/>
        <w:spacing w:afterLines="0"/>
        <w:ind w:left="0" w:firstLine="420" w:firstLineChars="200"/>
        <w:rPr>
          <w:rFonts w:asciiTheme="minorEastAsia" w:hAnsiTheme="minorEastAsia" w:eastAsiaTheme="minorEastAsia" w:cstheme="minorEastAsia"/>
          <w:sz w:val="21"/>
        </w:rPr>
      </w:pPr>
      <w:bookmarkStart w:id="403" w:name="_Ref4756982"/>
      <w:r>
        <w:rPr>
          <w:rFonts w:hint="eastAsia" w:asciiTheme="minorEastAsia" w:hAnsiTheme="minorEastAsia" w:eastAsiaTheme="minorEastAsia" w:cstheme="minorEastAsia"/>
          <w:sz w:val="21"/>
        </w:rPr>
        <w:t>1.1.2.6 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402"/>
      <w:bookmarkEnd w:id="403"/>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1.1.2.7 工程总承包项目经理：是指由承包人任命的，在承包人授权范围内负责合同履行的管理，且按照法律规定具有相应资格的项目负责人。</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1.1.2.8 设计负责人：是指承包人指定负责组织、指导、协调设计工作并具有相应资格的人员。</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1.1.2.9 采购负责人：是指承包人指定负责组织、指导、协调采购工作的人员。</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1.1.2.10 施工负责人：是指承包人指定负责组织、指导、协调施工工作并具有相应资格的人员。</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1.1.2.11 分包人：是指按照法律规定和合同约定，分包部分工程或工作，并与承包人订立分包合同的具有相应资质或资格的法人或其他组织。</w:t>
      </w:r>
    </w:p>
    <w:p>
      <w:pPr>
        <w:pStyle w:val="87"/>
        <w:spacing w:afterLines="0"/>
        <w:ind w:left="0" w:firstLine="420" w:firstLineChars="200"/>
        <w:rPr>
          <w:rFonts w:asciiTheme="minorEastAsia" w:hAnsiTheme="minorEastAsia" w:eastAsiaTheme="minorEastAsia" w:cstheme="minorEastAsia"/>
          <w:sz w:val="21"/>
        </w:rPr>
      </w:pPr>
      <w:bookmarkStart w:id="404" w:name="_Ref4758319"/>
      <w:r>
        <w:rPr>
          <w:rFonts w:hint="eastAsia" w:asciiTheme="minorEastAsia" w:hAnsiTheme="minorEastAsia" w:eastAsiaTheme="minorEastAsia" w:cstheme="minorEastAsia"/>
          <w:sz w:val="21"/>
        </w:rPr>
        <w:t>1.1.3 工程和设备</w:t>
      </w:r>
      <w:bookmarkEnd w:id="404"/>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1.1.3.1 工程：是指与合同协议书中工程承包范围对应的永久工程和（或）临时工程。</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1.1.3.2 工程实施：是指进行工程的设计、采购、施工和竣工以及对工程任何缺陷的修复。</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1.1.3.3 永久工程：是指按合同约定建造并移交给发包人的工程，包括工程设备。</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1.1.3.4 临时工程：是指为完成合同约定的永久工程所修建的各类临时性工程，不包括施工设备。</w:t>
      </w:r>
    </w:p>
    <w:p>
      <w:pPr>
        <w:pStyle w:val="88"/>
        <w:spacing w:afterLines="0"/>
        <w:ind w:left="0" w:firstLine="420" w:firstLineChars="200"/>
        <w:rPr>
          <w:rFonts w:asciiTheme="minorEastAsia" w:hAnsiTheme="minorEastAsia" w:eastAsiaTheme="minorEastAsia" w:cstheme="minorEastAsia"/>
          <w:sz w:val="21"/>
        </w:rPr>
      </w:pPr>
      <w:bookmarkStart w:id="405" w:name="_Ref4419825"/>
      <w:r>
        <w:rPr>
          <w:rFonts w:hint="eastAsia" w:asciiTheme="minorEastAsia" w:hAnsiTheme="minorEastAsia" w:eastAsiaTheme="minorEastAsia" w:cstheme="minorEastAsia"/>
          <w:sz w:val="21"/>
        </w:rPr>
        <w:t>1.1.3.5 单位/区段工程：是指在专用合同条件中指明特定范围的，能单独接收并使用的永久工程。</w:t>
      </w:r>
      <w:bookmarkEnd w:id="405"/>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1.1.3.6 工程设备：指构成永久工程的机电设备、仪器装置、运载工具及其他类似的设备和装置，包括其配件及备品、备件、易损易耗件等。</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1.1.3.7 施工设备：指为完成合同约定的各项工作所需的设备、器具和其他物品，不包括工程设备、临时工程和材料。</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1.1.3.8 临时设施：指为完成合同约定的各项工作所服务的临时性生产和生活设施。</w:t>
      </w:r>
    </w:p>
    <w:p>
      <w:pPr>
        <w:pStyle w:val="88"/>
        <w:spacing w:afterLines="0"/>
        <w:ind w:left="0" w:firstLine="420" w:firstLineChars="200"/>
        <w:rPr>
          <w:rFonts w:asciiTheme="minorEastAsia" w:hAnsiTheme="minorEastAsia" w:eastAsiaTheme="minorEastAsia" w:cstheme="minorEastAsia"/>
          <w:sz w:val="21"/>
        </w:rPr>
      </w:pPr>
      <w:bookmarkStart w:id="406" w:name="_Ref4420577"/>
      <w:r>
        <w:rPr>
          <w:rFonts w:hint="eastAsia" w:asciiTheme="minorEastAsia" w:hAnsiTheme="minorEastAsia" w:eastAsiaTheme="minorEastAsia" w:cstheme="minorEastAsia"/>
          <w:sz w:val="21"/>
        </w:rPr>
        <w:t>1.1.3.9 施工现场：是指用于工程施工的场所，以及在专用合同条件中指明作为施工场所组成部分的其他场所，包括永久占地和临时占地。</w:t>
      </w:r>
      <w:bookmarkEnd w:id="406"/>
    </w:p>
    <w:p>
      <w:pPr>
        <w:pStyle w:val="88"/>
        <w:spacing w:afterLines="0"/>
        <w:ind w:left="0" w:firstLine="420" w:firstLineChars="200"/>
        <w:rPr>
          <w:rFonts w:asciiTheme="minorEastAsia" w:hAnsiTheme="minorEastAsia" w:eastAsiaTheme="minorEastAsia" w:cstheme="minorEastAsia"/>
          <w:sz w:val="21"/>
        </w:rPr>
      </w:pPr>
      <w:bookmarkStart w:id="407" w:name="_Ref4420746"/>
      <w:r>
        <w:rPr>
          <w:rFonts w:hint="eastAsia" w:asciiTheme="minorEastAsia" w:hAnsiTheme="minorEastAsia" w:eastAsiaTheme="minorEastAsia" w:cstheme="minorEastAsia"/>
          <w:sz w:val="21"/>
        </w:rPr>
        <w:t>1.1.3.10 永久占地：是指专用合同条件中指明为实施工程需永久占用的土地。</w:t>
      </w:r>
      <w:bookmarkEnd w:id="407"/>
    </w:p>
    <w:p>
      <w:pPr>
        <w:pStyle w:val="88"/>
        <w:spacing w:afterLines="0"/>
        <w:ind w:left="0" w:firstLine="420" w:firstLineChars="200"/>
        <w:rPr>
          <w:rFonts w:asciiTheme="minorEastAsia" w:hAnsiTheme="minorEastAsia" w:eastAsiaTheme="minorEastAsia" w:cstheme="minorEastAsia"/>
          <w:sz w:val="21"/>
        </w:rPr>
      </w:pPr>
      <w:bookmarkStart w:id="408" w:name="_Ref4420821"/>
      <w:r>
        <w:rPr>
          <w:rFonts w:hint="eastAsia" w:asciiTheme="minorEastAsia" w:hAnsiTheme="minorEastAsia" w:eastAsiaTheme="minorEastAsia" w:cstheme="minorEastAsia"/>
          <w:sz w:val="21"/>
        </w:rPr>
        <w:t>1.1.3.11 临时占地：是指专用合同条件中指明为实施工程需临时占用的土地。</w:t>
      </w:r>
      <w:bookmarkEnd w:id="408"/>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 日期和期限</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1.1.4.1 开始工作通知：指工程师按第8.1.2项[开始工作通知]的约定通知承包人开始工作的函件。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1.1.4.2 开始工作日期：包括计划开始工作日期和实际开始工作日期。计划开始工作日期是指合同协议书约定的开始工作日期；实际开始工作日期是指工程师按照第8.1款[开始工作]约定发出的符合法律规定的开始工作通知中载明的开始工作日期。</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1.1.4.3 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1.1.4.4 竣工日期：包括计划竣工日期和实际竣工日期。计划竣工日期是指合同协议书约定的竣工日期；实际竣工日期按照第8.2款[竣工日期]的约定确定。</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1.1.4.5 工期：是指在合同协议书约定的承包人完成合同工作所需的期限，包括按照合同约定所作的期限变更及按合同约定承包人有权取得的工期延长。</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1.1.4.6 缺陷责任期：是指发包人预留工程质量保证金以保证承包人履行第11.3款[缺陷调查]下质量缺陷责任的期限。</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1.1.4.7 保修期：是指承包人按照合同约定和法律规定对工程质量承担保修责任的期限，该期限自缺陷责任期起算之日起计算。</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1.1.4.8 基准日期：招标发包的工程以投标截止日前28天的日期为基准日期，直接发包的工程以合同订立日前28天的日期为基准日期。</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1.1.4.9 天：除特别指明外，均指日历天。合同中按天计算时间的，开始当天不计入，从次日开始计算。期限最后一天的截止时间为当天24:00。</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1.1.4.10 竣工试验：是指在工程竣工验收前，根据第9条[竣工试验]要求进行的试验。</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1.1.4.11 竣工验收：是指承包人完成了合同约定的各项内容后，发包人按合同要求进行的验收。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1.1.4.12 竣工后试验：是指在工程竣工验收后，根据第12条[竣工后试验]约定进行的试验。</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 合同价格和费用</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1.1.5.1 签约合同价：是指发包人和承包人在合同协议书中确定的总金额，包括暂估价及暂列金额等。</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1.1.5.2 合同价格：是指发包人用于支付承包人按照合同约定完成承包范围内全部工作的金额，包括合同履行过程中按合同约定发生的价格变化。</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1.1.5.3 费用：是指为履行合同所发生的或将要发生的所有合理开支，包括管理费和应分摊的其他费用，但不包括利润。</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1.1.5.4 人工费：是指支付给直接从事建筑安装工程施工作业的建筑工人的各项费用。</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1.1.5.5 暂估价：</w:t>
      </w:r>
      <w:bookmarkStart w:id="409" w:name="_Hlk18973781"/>
      <w:r>
        <w:rPr>
          <w:rFonts w:hint="eastAsia" w:asciiTheme="minorEastAsia" w:hAnsiTheme="minorEastAsia" w:eastAsiaTheme="minorEastAsia" w:cstheme="minorEastAsia"/>
          <w:sz w:val="21"/>
        </w:rPr>
        <w:t>是指发包人在项目清单中给定的，用于支付必然发生但暂时不能确定价格的专业服务、材料、设备、专业工程的金额。</w:t>
      </w:r>
      <w:bookmarkEnd w:id="409"/>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1.1.5.6 暂列金额：是指发包人在项目清单中给定的，用于在订立协议书时尚未确定或不可预见变更的设计、施工及其所需材料、工程设备、服务等的金额，包括以计日工方式支付的金额。</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1.1.5.7 计日工：是指合同履行过程中，承包人完成发包人提出的零星工作或需要采用计日工计价的变更工作时，按合同中约定的单价计价的一种方式。</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1.1.5.8 质量保证金：是指按第14.6款[质量保证金]约定承包人用于保证其在缺陷责任期内履行缺陷修复义务的担保。</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1.1.6 其他</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1.1.6.1 书面形式：指合同文件、信函、电报、传真、数据电文、电子邮件、会议纪要等可以有形地表现所载内容的形式。</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1.1.6.2 承包人文件：指由承包人根据合同约定应提交的所有图纸、手册、模型、计算书、软件、函件、洽商性文件和其他技术性文件。</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1.1.6.3 变更：指根据第13条[变更与调整]的约定，经指示或批准对《发包人要求》或工程所做的改变。</w:t>
      </w:r>
    </w:p>
    <w:bookmarkEnd w:id="399"/>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10" w:name="_Ref509042104"/>
      <w:bookmarkStart w:id="411" w:name="_Toc113958447"/>
      <w:bookmarkStart w:id="412" w:name="_Toc54862179"/>
      <w:bookmarkStart w:id="413" w:name="_Toc3285"/>
      <w:bookmarkStart w:id="414" w:name="_Ref509042101"/>
      <w:bookmarkStart w:id="415" w:name="_Ref522730349"/>
      <w:bookmarkStart w:id="416" w:name="_Ref522730353"/>
      <w:r>
        <w:rPr>
          <w:rFonts w:hint="eastAsia" w:asciiTheme="minorEastAsia" w:hAnsiTheme="minorEastAsia" w:eastAsiaTheme="minorEastAsia" w:cstheme="minorEastAsia"/>
          <w:b w:val="0"/>
          <w:bCs/>
          <w:sz w:val="21"/>
          <w:szCs w:val="21"/>
        </w:rPr>
        <w:t>1.2 语言文字</w:t>
      </w:r>
      <w:bookmarkEnd w:id="410"/>
      <w:bookmarkEnd w:id="411"/>
      <w:bookmarkEnd w:id="412"/>
      <w:bookmarkEnd w:id="413"/>
      <w:bookmarkEnd w:id="41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合同文件以中国的汉语简体语言文字编写、解释和说明。专用术语使用外文的，应附有中文注释。合同当事人在专用合同条件约定使用两种及以上语言时，汉语为优先解释和说明合同的语言。</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与合同有关的联络应使用专用合同条件约定的语言。如没有约定，则应使用中国的汉语简体语言文字。</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17" w:name="_Ref531949543"/>
      <w:bookmarkStart w:id="418" w:name="_Toc10841"/>
      <w:bookmarkStart w:id="419" w:name="_Ref531949539"/>
      <w:bookmarkStart w:id="420" w:name="_Toc113958448"/>
      <w:bookmarkStart w:id="421" w:name="_Toc54862180"/>
      <w:r>
        <w:rPr>
          <w:rFonts w:hint="eastAsia" w:asciiTheme="minorEastAsia" w:hAnsiTheme="minorEastAsia" w:eastAsiaTheme="minorEastAsia" w:cstheme="minorEastAsia"/>
          <w:b w:val="0"/>
          <w:bCs/>
          <w:sz w:val="21"/>
          <w:szCs w:val="21"/>
        </w:rPr>
        <w:t>1.3 法律</w:t>
      </w:r>
      <w:bookmarkEnd w:id="417"/>
      <w:bookmarkEnd w:id="418"/>
      <w:bookmarkEnd w:id="419"/>
      <w:bookmarkEnd w:id="420"/>
      <w:bookmarkEnd w:id="42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合同所称法律是指中华人民共和国法律、行政法规、部门规章，以及工程所在地的地方法规、自治条例、单行条例和地方政府规章等。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合同当事人可以在专用合同条件中约定合同适用的其他规范性文件。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22" w:name="_Ref531949594"/>
      <w:bookmarkStart w:id="423" w:name="_Toc54862181"/>
      <w:bookmarkStart w:id="424" w:name="_Ref531949589"/>
      <w:bookmarkStart w:id="425" w:name="_Toc29402"/>
      <w:bookmarkStart w:id="426" w:name="_Toc113958449"/>
      <w:r>
        <w:rPr>
          <w:rFonts w:hint="eastAsia" w:asciiTheme="minorEastAsia" w:hAnsiTheme="minorEastAsia" w:eastAsiaTheme="minorEastAsia" w:cstheme="minorEastAsia"/>
          <w:b w:val="0"/>
          <w:bCs/>
          <w:sz w:val="21"/>
          <w:szCs w:val="21"/>
        </w:rPr>
        <w:t>1.4 标准和规范</w:t>
      </w:r>
      <w:bookmarkEnd w:id="422"/>
      <w:bookmarkEnd w:id="423"/>
      <w:bookmarkEnd w:id="424"/>
      <w:bookmarkEnd w:id="425"/>
      <w:bookmarkEnd w:id="426"/>
    </w:p>
    <w:p>
      <w:pPr>
        <w:pStyle w:val="87"/>
        <w:spacing w:afterLines="0"/>
        <w:ind w:left="0" w:firstLine="420" w:firstLineChars="200"/>
        <w:rPr>
          <w:rFonts w:asciiTheme="minorEastAsia" w:hAnsiTheme="minorEastAsia" w:eastAsiaTheme="minorEastAsia" w:cstheme="minorEastAsia"/>
          <w:sz w:val="21"/>
        </w:rPr>
      </w:pPr>
      <w:bookmarkStart w:id="427" w:name="_Ref4420991"/>
      <w:r>
        <w:rPr>
          <w:rFonts w:hint="eastAsia" w:asciiTheme="minorEastAsia" w:hAnsiTheme="minorEastAsia" w:eastAsiaTheme="minorEastAsia" w:cstheme="minorEastAsia"/>
          <w:sz w:val="21"/>
        </w:rPr>
        <w:t>1.4.1 适用于工程的国家标准、行业标准、工程所在地的地方性标准，以及相应的规范、规程等，合同当事人有特别要求的，应在专用合同条件中约定。</w:t>
      </w:r>
      <w:bookmarkEnd w:id="427"/>
    </w:p>
    <w:p>
      <w:pPr>
        <w:pStyle w:val="87"/>
        <w:spacing w:afterLines="0"/>
        <w:ind w:left="0" w:firstLine="420" w:firstLineChars="200"/>
        <w:rPr>
          <w:rFonts w:asciiTheme="minorEastAsia" w:hAnsiTheme="minorEastAsia" w:eastAsiaTheme="minorEastAsia" w:cstheme="minorEastAsia"/>
          <w:sz w:val="21"/>
        </w:rPr>
      </w:pPr>
      <w:bookmarkStart w:id="428" w:name="_Ref531949642"/>
      <w:r>
        <w:rPr>
          <w:rFonts w:hint="eastAsia" w:asciiTheme="minorEastAsia" w:hAnsiTheme="minorEastAsia" w:eastAsiaTheme="minorEastAsia" w:cstheme="minorEastAsia"/>
          <w:sz w:val="21"/>
        </w:rPr>
        <w:t>1.4.2 发包人要求使用国外标准、规范的，发包人负责提供原文版本和中文译本，并在专用合同条件中约定提供标准规范的名称、份数和时间。</w:t>
      </w:r>
      <w:bookmarkEnd w:id="428"/>
    </w:p>
    <w:p>
      <w:pPr>
        <w:pStyle w:val="87"/>
        <w:spacing w:afterLines="0"/>
        <w:ind w:left="0" w:firstLine="420" w:firstLineChars="200"/>
        <w:rPr>
          <w:rFonts w:asciiTheme="minorEastAsia" w:hAnsiTheme="minorEastAsia" w:eastAsiaTheme="minorEastAsia" w:cstheme="minorEastAsia"/>
          <w:sz w:val="21"/>
        </w:rPr>
      </w:pPr>
      <w:bookmarkStart w:id="429" w:name="_Ref531949657"/>
      <w:r>
        <w:rPr>
          <w:rFonts w:hint="eastAsia" w:asciiTheme="minorEastAsia" w:hAnsiTheme="minorEastAsia" w:eastAsiaTheme="minorEastAsia" w:cstheme="minorEastAsia"/>
          <w:sz w:val="21"/>
        </w:rPr>
        <w:t>1.4.3 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bookmarkEnd w:id="429"/>
    </w:p>
    <w:p>
      <w:pPr>
        <w:pStyle w:val="87"/>
        <w:spacing w:afterLines="0"/>
        <w:ind w:left="0" w:firstLine="420" w:firstLineChars="200"/>
        <w:rPr>
          <w:rFonts w:asciiTheme="minorEastAsia" w:hAnsiTheme="minorEastAsia" w:eastAsiaTheme="minorEastAsia" w:cstheme="minorEastAsia"/>
          <w:sz w:val="21"/>
        </w:rPr>
      </w:pPr>
      <w:bookmarkStart w:id="430" w:name="_Ref4421272"/>
      <w:r>
        <w:rPr>
          <w:rFonts w:hint="eastAsia" w:asciiTheme="minorEastAsia" w:hAnsiTheme="minorEastAsia" w:eastAsiaTheme="minorEastAsia" w:cstheme="minorEastAsia"/>
          <w:sz w:val="21"/>
        </w:rPr>
        <w:t>1.4.4 发包人对于工程的技术标准、功能要求高于或严于现行国家、行业或地方标准的，应当在《发包人要求》中予以明确。除专用合同条件另有约定外，应视为承包人在订立合同前已充分预见前述技术标准和功能要求的复杂程度，签约合同价中已包含由此产生的费用。</w:t>
      </w:r>
      <w:bookmarkEnd w:id="430"/>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31" w:name="_Toc2783"/>
      <w:bookmarkStart w:id="432" w:name="_Toc113958450"/>
      <w:bookmarkStart w:id="433" w:name="_Ref4421717"/>
      <w:bookmarkStart w:id="434" w:name="_Toc54862182"/>
      <w:r>
        <w:rPr>
          <w:rFonts w:hint="eastAsia" w:asciiTheme="minorEastAsia" w:hAnsiTheme="minorEastAsia" w:eastAsiaTheme="minorEastAsia" w:cstheme="minorEastAsia"/>
          <w:b w:val="0"/>
          <w:bCs/>
          <w:sz w:val="21"/>
          <w:szCs w:val="21"/>
        </w:rPr>
        <w:t>1.5 合同文件的优先顺序</w:t>
      </w:r>
      <w:bookmarkEnd w:id="415"/>
      <w:bookmarkEnd w:id="416"/>
      <w:bookmarkEnd w:id="431"/>
      <w:bookmarkEnd w:id="432"/>
      <w:bookmarkEnd w:id="433"/>
      <w:bookmarkEnd w:id="434"/>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435" w:name="_Ref531948776"/>
      <w:r>
        <w:rPr>
          <w:rFonts w:hint="eastAsia" w:asciiTheme="minorEastAsia" w:hAnsiTheme="minorEastAsia" w:eastAsiaTheme="minorEastAsia" w:cstheme="minorEastAsia"/>
          <w:sz w:val="21"/>
          <w:szCs w:val="21"/>
        </w:rPr>
        <w:t>组成合同的各项文件应互相解释，互为说明。除专用合同条件另有约定外，</w:t>
      </w:r>
      <w:bookmarkEnd w:id="435"/>
      <w:r>
        <w:rPr>
          <w:rFonts w:hint="eastAsia" w:asciiTheme="minorEastAsia" w:hAnsiTheme="minorEastAsia" w:eastAsiaTheme="minorEastAsia" w:cstheme="minorEastAsia"/>
          <w:sz w:val="21"/>
          <w:szCs w:val="21"/>
        </w:rPr>
        <w:t>解释合同文件的优先顺序如下：</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合同协议书；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中标通知书（如果有）；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投标函及投标函附录（如果有）；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专用合同条件及《发包人要求》等附件；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通用合同条件；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 承包人建议书；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价格清单；</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双方约定的其他合同文件。</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436" w:name="_Hlk18951547"/>
      <w:r>
        <w:rPr>
          <w:rFonts w:hint="eastAsia" w:asciiTheme="minorEastAsia" w:hAnsiTheme="minorEastAsia" w:eastAsiaTheme="minorEastAsia" w:cstheme="minorEastAsia"/>
          <w:sz w:val="21"/>
          <w:szCs w:val="21"/>
        </w:rPr>
        <w:t>上述各项合同文件包括合同当事人就该项合同文件所作出的补充和修改，属于同一类内容的文件，应以最新签署的为准</w:t>
      </w:r>
      <w:bookmarkEnd w:id="436"/>
      <w:r>
        <w:rPr>
          <w:rFonts w:hint="eastAsia" w:asciiTheme="minorEastAsia" w:hAnsiTheme="minorEastAsia" w:eastAsiaTheme="minorEastAsia" w:cstheme="minorEastAsia"/>
          <w:sz w:val="21"/>
          <w:szCs w:val="21"/>
        </w:rPr>
        <w:t>。</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在合同订立及履行过程中形成的与合同有关的文件均构成合同文件组成部分，并根据其性质确定优先解释顺序。</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37" w:name="_Ref4422060"/>
      <w:bookmarkStart w:id="438" w:name="_Ref11917818"/>
      <w:bookmarkStart w:id="439" w:name="_Toc54862183"/>
      <w:bookmarkStart w:id="440" w:name="_Toc12328"/>
      <w:bookmarkStart w:id="441" w:name="_Toc113958451"/>
      <w:bookmarkStart w:id="442" w:name="_Ref531949807"/>
      <w:bookmarkStart w:id="443" w:name="_Ref531949803"/>
      <w:bookmarkStart w:id="444" w:name="_Ref531949822"/>
      <w:r>
        <w:rPr>
          <w:rFonts w:hint="eastAsia" w:asciiTheme="minorEastAsia" w:hAnsiTheme="minorEastAsia" w:eastAsiaTheme="minorEastAsia" w:cstheme="minorEastAsia"/>
          <w:b w:val="0"/>
          <w:bCs/>
          <w:sz w:val="21"/>
          <w:szCs w:val="21"/>
        </w:rPr>
        <w:t>1.6 文件的提供和</w:t>
      </w:r>
      <w:bookmarkEnd w:id="437"/>
      <w:r>
        <w:rPr>
          <w:rFonts w:hint="eastAsia" w:asciiTheme="minorEastAsia" w:hAnsiTheme="minorEastAsia" w:eastAsiaTheme="minorEastAsia" w:cstheme="minorEastAsia"/>
          <w:b w:val="0"/>
          <w:bCs/>
          <w:sz w:val="21"/>
          <w:szCs w:val="21"/>
        </w:rPr>
        <w:t>照管</w:t>
      </w:r>
      <w:bookmarkEnd w:id="438"/>
      <w:bookmarkEnd w:id="439"/>
      <w:bookmarkEnd w:id="440"/>
      <w:bookmarkEnd w:id="441"/>
    </w:p>
    <w:p>
      <w:pPr>
        <w:pStyle w:val="87"/>
        <w:spacing w:afterLines="0"/>
        <w:ind w:left="0" w:firstLine="420" w:firstLineChars="200"/>
        <w:rPr>
          <w:rFonts w:asciiTheme="minorEastAsia" w:hAnsiTheme="minorEastAsia" w:eastAsiaTheme="minorEastAsia" w:cstheme="minorEastAsia"/>
          <w:sz w:val="21"/>
        </w:rPr>
      </w:pPr>
      <w:bookmarkStart w:id="445" w:name="_Ref4421991"/>
      <w:r>
        <w:rPr>
          <w:rFonts w:hint="eastAsia" w:asciiTheme="minorEastAsia" w:hAnsiTheme="minorEastAsia" w:eastAsiaTheme="minorEastAsia" w:cstheme="minorEastAsia"/>
          <w:sz w:val="21"/>
        </w:rPr>
        <w:t>1.6.1 发包人文件的提供</w:t>
      </w:r>
      <w:bookmarkEnd w:id="44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8.7.1项[因发包人原因导致工期延误]约定办理。</w:t>
      </w:r>
    </w:p>
    <w:p>
      <w:pPr>
        <w:pStyle w:val="87"/>
        <w:spacing w:afterLines="0"/>
        <w:ind w:left="0" w:firstLine="420" w:firstLineChars="200"/>
        <w:rPr>
          <w:rFonts w:asciiTheme="minorEastAsia" w:hAnsiTheme="minorEastAsia" w:eastAsiaTheme="minorEastAsia" w:cstheme="minorEastAsia"/>
          <w:sz w:val="21"/>
        </w:rPr>
      </w:pPr>
      <w:bookmarkStart w:id="446" w:name="_Ref4422317"/>
      <w:r>
        <w:rPr>
          <w:rFonts w:hint="eastAsia" w:asciiTheme="minorEastAsia" w:hAnsiTheme="minorEastAsia" w:eastAsiaTheme="minorEastAsia" w:cstheme="minorEastAsia"/>
          <w:sz w:val="21"/>
        </w:rPr>
        <w:t>1.6.2 承包人文件的提供</w:t>
      </w:r>
      <w:bookmarkEnd w:id="44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除专用合同条件另有约定外，承包人文件应包含下列内容，并用第1.2款[语言文字]约定的语言制作：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《发包人要求》中规定的相关文件；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满足工程相关行政审批手续所必须的应由承包人负责的相关文件；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第5.4款[竣工文件]与第5.5款[操作和维修手册]中要求的相关文件。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5.2款[承包人文件审查]和第5.4款[竣工文件]的约定。</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1.6.3 文件错误的通知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任何一方发现文件中存在明显的错误或疏忽，应及时通知另一方。</w:t>
      </w:r>
    </w:p>
    <w:p>
      <w:pPr>
        <w:pStyle w:val="87"/>
        <w:spacing w:afterLines="0"/>
        <w:ind w:left="0" w:firstLine="420" w:firstLineChars="200"/>
        <w:rPr>
          <w:rFonts w:asciiTheme="minorEastAsia" w:hAnsiTheme="minorEastAsia" w:eastAsiaTheme="minorEastAsia" w:cstheme="minorEastAsia"/>
          <w:sz w:val="21"/>
        </w:rPr>
      </w:pPr>
      <w:bookmarkStart w:id="447" w:name="_Ref4678410"/>
      <w:bookmarkStart w:id="448" w:name="_Ref11957673"/>
      <w:r>
        <w:rPr>
          <w:rFonts w:hint="eastAsia" w:asciiTheme="minorEastAsia" w:hAnsiTheme="minorEastAsia" w:eastAsiaTheme="minorEastAsia" w:cstheme="minorEastAsia"/>
          <w:sz w:val="21"/>
        </w:rPr>
        <w:t>1.6.4 文件的</w:t>
      </w:r>
      <w:bookmarkEnd w:id="447"/>
      <w:r>
        <w:rPr>
          <w:rFonts w:hint="eastAsia" w:asciiTheme="minorEastAsia" w:hAnsiTheme="minorEastAsia" w:eastAsiaTheme="minorEastAsia" w:cstheme="minorEastAsia"/>
          <w:sz w:val="21"/>
        </w:rPr>
        <w:t>照管</w:t>
      </w:r>
      <w:bookmarkEnd w:id="44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49" w:name="_Toc113958452"/>
      <w:bookmarkStart w:id="450" w:name="_Ref4415170"/>
      <w:bookmarkStart w:id="451" w:name="_Toc29297"/>
      <w:bookmarkStart w:id="452" w:name="_Toc54862184"/>
      <w:r>
        <w:rPr>
          <w:rFonts w:hint="eastAsia" w:asciiTheme="minorEastAsia" w:hAnsiTheme="minorEastAsia" w:eastAsiaTheme="minorEastAsia" w:cstheme="minorEastAsia"/>
          <w:b w:val="0"/>
          <w:bCs/>
          <w:sz w:val="21"/>
          <w:szCs w:val="21"/>
        </w:rPr>
        <w:t>1.7 联络</w:t>
      </w:r>
      <w:bookmarkEnd w:id="449"/>
      <w:bookmarkEnd w:id="450"/>
      <w:bookmarkEnd w:id="451"/>
      <w:bookmarkEnd w:id="452"/>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1.7.1 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87"/>
        <w:spacing w:afterLines="0"/>
        <w:ind w:left="0" w:firstLine="420" w:firstLineChars="200"/>
        <w:rPr>
          <w:rFonts w:asciiTheme="minorEastAsia" w:hAnsiTheme="minorEastAsia" w:eastAsiaTheme="minorEastAsia" w:cstheme="minorEastAsia"/>
          <w:sz w:val="21"/>
        </w:rPr>
      </w:pPr>
      <w:bookmarkStart w:id="453" w:name="_Ref531949897"/>
      <w:r>
        <w:rPr>
          <w:rFonts w:hint="eastAsia" w:asciiTheme="minorEastAsia" w:hAnsiTheme="minorEastAsia" w:eastAsiaTheme="minorEastAsia" w:cstheme="minorEastAsia"/>
          <w:sz w:val="21"/>
        </w:rPr>
        <w:t>1.7.2 发包人和承包人应在专用合同条件中约定各自的送达方式和收件地址。任何一方合同当事人指定的送达方式或收件地址发生变动的，应提前3天以书面形式通知对方。</w:t>
      </w:r>
      <w:bookmarkEnd w:id="453"/>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1.7.3 发包人和承包人应当及时签收另一方通过约定的送达方式送达至收件地址的来往文件。拒不签收的，由此增加的费用和（或）延误的工期由拒绝接收一方承担。</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1.7.4 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54" w:name="_Toc26263"/>
      <w:bookmarkStart w:id="455" w:name="_Toc54862185"/>
      <w:bookmarkStart w:id="456" w:name="_Toc113958453"/>
      <w:r>
        <w:rPr>
          <w:rFonts w:hint="eastAsia" w:asciiTheme="minorEastAsia" w:hAnsiTheme="minorEastAsia" w:eastAsiaTheme="minorEastAsia" w:cstheme="minorEastAsia"/>
          <w:b w:val="0"/>
          <w:bCs/>
          <w:sz w:val="21"/>
          <w:szCs w:val="21"/>
        </w:rPr>
        <w:t>1.8 严禁贿赂</w:t>
      </w:r>
      <w:bookmarkEnd w:id="442"/>
      <w:bookmarkEnd w:id="443"/>
      <w:bookmarkEnd w:id="444"/>
      <w:bookmarkEnd w:id="454"/>
      <w:bookmarkEnd w:id="455"/>
      <w:bookmarkEnd w:id="45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合同当事人不得以贿赂或变相贿赂的方式，谋取非法利益或损害对方权益。因一方合同当事人的贿赂造成对方损失的，应赔偿损失，并承担相应的法律责任。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57" w:name="_Toc113958454"/>
      <w:bookmarkStart w:id="458" w:name="_Toc54862186"/>
      <w:bookmarkStart w:id="459" w:name="_Toc9432"/>
      <w:r>
        <w:rPr>
          <w:rFonts w:hint="eastAsia" w:asciiTheme="minorEastAsia" w:hAnsiTheme="minorEastAsia" w:eastAsiaTheme="minorEastAsia" w:cstheme="minorEastAsia"/>
          <w:b w:val="0"/>
          <w:bCs/>
          <w:sz w:val="21"/>
          <w:szCs w:val="21"/>
        </w:rPr>
        <w:t>1.9 化石、文物</w:t>
      </w:r>
      <w:bookmarkEnd w:id="457"/>
      <w:bookmarkEnd w:id="458"/>
      <w:bookmarkEnd w:id="45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发包人、工程师和承包人应按有关政府行政管理部门要求采取妥善的保护措施，由此增加的费用和（或）延误的工期由发包人承担。</w:t>
      </w:r>
      <w:bookmarkStart w:id="1607" w:name="_GoBack"/>
      <w:bookmarkEnd w:id="160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承包人发现文物后不及时报告或隐瞒不报，致使文物丢失或损坏的，应赔偿损失，并承担相应的法律责任。</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60" w:name="_Ref4423426"/>
      <w:bookmarkStart w:id="461" w:name="_Toc54862187"/>
      <w:bookmarkStart w:id="462" w:name="_Toc30444"/>
      <w:bookmarkStart w:id="463" w:name="_Toc113958455"/>
      <w:bookmarkStart w:id="464" w:name="_Ref531949766"/>
      <w:bookmarkStart w:id="465" w:name="_Ref531949770"/>
      <w:bookmarkStart w:id="466" w:name="_Ref531949855"/>
      <w:bookmarkStart w:id="467" w:name="_Ref531949826"/>
      <w:bookmarkStart w:id="468" w:name="_Ref531949841"/>
      <w:r>
        <w:rPr>
          <w:rFonts w:hint="eastAsia" w:asciiTheme="minorEastAsia" w:hAnsiTheme="minorEastAsia" w:eastAsiaTheme="minorEastAsia" w:cstheme="minorEastAsia"/>
          <w:b w:val="0"/>
          <w:bCs/>
          <w:sz w:val="21"/>
          <w:szCs w:val="21"/>
        </w:rPr>
        <w:t>1.10 知识产权</w:t>
      </w:r>
      <w:bookmarkEnd w:id="460"/>
      <w:bookmarkEnd w:id="461"/>
      <w:bookmarkEnd w:id="462"/>
      <w:bookmarkEnd w:id="463"/>
      <w:bookmarkEnd w:id="464"/>
      <w:bookmarkEnd w:id="465"/>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469" w:name="_Ref4423563"/>
      <w:r>
        <w:rPr>
          <w:rFonts w:hint="eastAsia" w:asciiTheme="minorEastAsia" w:hAnsiTheme="minorEastAsia" w:eastAsiaTheme="minorEastAsia" w:cstheme="minorEastAsia"/>
          <w:sz w:val="21"/>
        </w:rPr>
        <w:t>1.10.1 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469"/>
    </w:p>
    <w:p>
      <w:pPr>
        <w:pStyle w:val="87"/>
        <w:spacing w:afterLines="0"/>
        <w:ind w:left="0" w:firstLine="420" w:firstLineChars="200"/>
        <w:rPr>
          <w:rFonts w:asciiTheme="minorEastAsia" w:hAnsiTheme="minorEastAsia" w:eastAsiaTheme="minorEastAsia" w:cstheme="minorEastAsia"/>
          <w:sz w:val="21"/>
        </w:rPr>
      </w:pPr>
      <w:bookmarkStart w:id="470" w:name="_Ref4423604"/>
      <w:r>
        <w:rPr>
          <w:rFonts w:hint="eastAsia" w:asciiTheme="minorEastAsia" w:hAnsiTheme="minorEastAsia" w:eastAsiaTheme="minorEastAsia" w:cstheme="minorEastAsia"/>
          <w:sz w:val="21"/>
        </w:rPr>
        <w:t>1.10.2 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470"/>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1.10.3 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pPr>
        <w:pStyle w:val="87"/>
        <w:spacing w:afterLines="0"/>
        <w:ind w:left="0" w:firstLine="420" w:firstLineChars="200"/>
        <w:rPr>
          <w:rFonts w:asciiTheme="minorEastAsia" w:hAnsiTheme="minorEastAsia" w:eastAsiaTheme="minorEastAsia" w:cstheme="minorEastAsia"/>
          <w:sz w:val="21"/>
        </w:rPr>
      </w:pPr>
      <w:bookmarkStart w:id="471" w:name="_Ref4423695"/>
      <w:r>
        <w:rPr>
          <w:rFonts w:hint="eastAsia" w:asciiTheme="minorEastAsia" w:hAnsiTheme="minorEastAsia" w:eastAsiaTheme="minorEastAsia" w:cstheme="minorEastAsia"/>
          <w:sz w:val="21"/>
        </w:rPr>
        <w:t>1.10.4 除专用合同条件另有约定外，承包人在投标文件中采用的专利、专有技术、商业软件、技术秘密的使用费已包含在签约合同价中。</w:t>
      </w:r>
      <w:bookmarkEnd w:id="471"/>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1.10.5 合同当事人可就本合同涉及的合同一方、或合同双方（含一方或双方相关的专利商或第三方设计单位)的技术专利、建筑设计方案、专有技术、设计文件著作权等知识产权，订立知识产权及保密协议，作为本合同的组成部分。</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72" w:name="_Ref4423898"/>
      <w:bookmarkStart w:id="473" w:name="_Toc854"/>
      <w:bookmarkStart w:id="474" w:name="_Ref4423873"/>
      <w:bookmarkStart w:id="475" w:name="_Toc113958456"/>
      <w:bookmarkStart w:id="476" w:name="_Toc54862188"/>
      <w:r>
        <w:rPr>
          <w:rFonts w:hint="eastAsia" w:asciiTheme="minorEastAsia" w:hAnsiTheme="minorEastAsia" w:eastAsiaTheme="minorEastAsia" w:cstheme="minorEastAsia"/>
          <w:b w:val="0"/>
          <w:bCs/>
          <w:sz w:val="21"/>
          <w:szCs w:val="21"/>
        </w:rPr>
        <w:t>1.11 保密</w:t>
      </w:r>
      <w:bookmarkEnd w:id="466"/>
      <w:bookmarkEnd w:id="467"/>
      <w:bookmarkEnd w:id="468"/>
      <w:bookmarkEnd w:id="472"/>
      <w:bookmarkEnd w:id="473"/>
      <w:bookmarkEnd w:id="474"/>
      <w:bookmarkEnd w:id="475"/>
      <w:bookmarkEnd w:id="47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合同当事人一方对在订立和履行合同过程中知悉的另一方的商业秘密、技术秘密，以及任何一方明确要求保密的其它信息，负有保密责任。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除法律规定或合同另有约定外，未经对方同意，任何一方当事人不得将对方提供的文件、技术秘密以及声明需要保密的资料信息等商业秘密泄露给第三方或者用于本合同以外的目的。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77" w:name="_Toc113958457"/>
      <w:bookmarkStart w:id="478" w:name="_Toc54862189"/>
      <w:bookmarkStart w:id="479" w:name="_Ref532336812"/>
      <w:bookmarkStart w:id="480" w:name="_Toc6807"/>
      <w:r>
        <w:rPr>
          <w:rFonts w:hint="eastAsia" w:asciiTheme="minorEastAsia" w:hAnsiTheme="minorEastAsia" w:eastAsiaTheme="minorEastAsia" w:cstheme="minorEastAsia"/>
          <w:b w:val="0"/>
          <w:bCs/>
          <w:sz w:val="21"/>
          <w:szCs w:val="21"/>
        </w:rPr>
        <w:t xml:space="preserve">1.12 </w:t>
      </w:r>
      <w:bookmarkStart w:id="481" w:name="_Hlk55215423"/>
      <w:r>
        <w:rPr>
          <w:rFonts w:hint="eastAsia" w:asciiTheme="minorEastAsia" w:hAnsiTheme="minorEastAsia" w:eastAsiaTheme="minorEastAsia" w:cstheme="minorEastAsia"/>
          <w:b w:val="0"/>
          <w:bCs/>
          <w:sz w:val="21"/>
          <w:szCs w:val="21"/>
        </w:rPr>
        <w:t>《发包人要求》和基础资料中的错误</w:t>
      </w:r>
      <w:bookmarkEnd w:id="477"/>
      <w:bookmarkEnd w:id="478"/>
      <w:bookmarkEnd w:id="479"/>
      <w:bookmarkEnd w:id="480"/>
      <w:bookmarkEnd w:id="48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承包人应尽早认真阅读、复核《发包人要求》以及其提供的基础资料，发现错误的，应及时书面通知发包人补正。发包人作相应修改的，按照第13条[变更与调整</w:t>
      </w:r>
      <w:bookmarkStart w:id="482" w:name="_Ref523403776"/>
      <w:bookmarkStart w:id="483" w:name="_Ref523403409"/>
      <w:r>
        <w:rPr>
          <w:rFonts w:hint="eastAsia" w:asciiTheme="minorEastAsia" w:hAnsiTheme="minorEastAsia" w:eastAsiaTheme="minorEastAsia" w:cstheme="minorEastAsia"/>
          <w:sz w:val="21"/>
          <w:szCs w:val="21"/>
        </w:rPr>
        <w:t>]的约定处理。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《发包人要求》或其提供的基础资料中的错误导致承包人增加费用和（或）工期延误的，发包人应承担由此增加的费用和（或）工期延误，并向承包人支付合理利润。</w:t>
      </w:r>
    </w:p>
    <w:bookmarkEnd w:id="482"/>
    <w:bookmarkEnd w:id="483"/>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84" w:name="_Toc4621"/>
      <w:bookmarkStart w:id="485" w:name="_Ref531949933"/>
      <w:bookmarkStart w:id="486" w:name="_Toc113958458"/>
      <w:bookmarkStart w:id="487" w:name="_Toc54862190"/>
      <w:bookmarkStart w:id="488" w:name="_Ref531949937"/>
      <w:r>
        <w:rPr>
          <w:rFonts w:hint="eastAsia" w:asciiTheme="minorEastAsia" w:hAnsiTheme="minorEastAsia" w:eastAsiaTheme="minorEastAsia" w:cstheme="minorEastAsia"/>
          <w:b w:val="0"/>
          <w:bCs/>
          <w:sz w:val="21"/>
          <w:szCs w:val="21"/>
        </w:rPr>
        <w:t>1.13 责任限制</w:t>
      </w:r>
      <w:bookmarkEnd w:id="484"/>
      <w:bookmarkEnd w:id="485"/>
      <w:bookmarkEnd w:id="486"/>
      <w:bookmarkEnd w:id="487"/>
      <w:bookmarkEnd w:id="48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对发包人的赔偿责任不应超过专用合同条件约定的赔偿最高限额。若专用合同条件未约定，则承包人对发包人的赔偿责任不应超过签约合同价。但对于因欺诈、犯罪、故意、重大过失、人身伤害等不当行为造成的损失，赔偿的责任限度不受上述最高限额的限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89" w:name="_Toc113958459"/>
      <w:bookmarkStart w:id="490" w:name="_Toc23535"/>
      <w:bookmarkStart w:id="491" w:name="_Toc54862191"/>
      <w:bookmarkStart w:id="492" w:name="_Hlk51506160"/>
      <w:r>
        <w:rPr>
          <w:rFonts w:hint="eastAsia" w:asciiTheme="minorEastAsia" w:hAnsiTheme="minorEastAsia" w:eastAsiaTheme="minorEastAsia" w:cstheme="minorEastAsia"/>
          <w:b w:val="0"/>
          <w:bCs/>
          <w:sz w:val="21"/>
          <w:szCs w:val="21"/>
        </w:rPr>
        <w:t>1.14 建筑信息模型技术的应用</w:t>
      </w:r>
      <w:bookmarkEnd w:id="489"/>
      <w:bookmarkEnd w:id="490"/>
      <w:bookmarkEnd w:id="491"/>
    </w:p>
    <w:bookmarkEnd w:id="492"/>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项目中拟采用建筑信息模型技术，合同双方应遵守国家现行相关标准的规定，并符合项目所在地的相关地方标准或指南。合同双方应在专用合同条件中就建筑信息模型的开发、使用、存储、传输、交付及费用等相关内容进行约定。除专用合同条件另有约定外，承包人应负责与本项目中其他使用方协商。</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493" w:name="_Toc113958460"/>
      <w:bookmarkStart w:id="494" w:name="_Ref4796511"/>
      <w:bookmarkStart w:id="495" w:name="_Toc54862192"/>
      <w:bookmarkStart w:id="496" w:name="_Toc30122"/>
      <w:r>
        <w:rPr>
          <w:rFonts w:hint="eastAsia" w:asciiTheme="minorEastAsia" w:hAnsiTheme="minorEastAsia" w:eastAsiaTheme="minorEastAsia" w:cstheme="minorEastAsia"/>
          <w:bCs/>
          <w:sz w:val="21"/>
          <w:szCs w:val="21"/>
        </w:rPr>
        <w:t>第2条 发包人</w:t>
      </w:r>
      <w:bookmarkEnd w:id="493"/>
      <w:bookmarkEnd w:id="494"/>
      <w:bookmarkEnd w:id="495"/>
      <w:bookmarkEnd w:id="496"/>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497" w:name="_Toc113958461"/>
      <w:bookmarkStart w:id="498" w:name="_Toc54862193"/>
      <w:bookmarkStart w:id="499" w:name="_Toc27073"/>
      <w:r>
        <w:rPr>
          <w:rFonts w:hint="eastAsia" w:asciiTheme="minorEastAsia" w:hAnsiTheme="minorEastAsia" w:eastAsiaTheme="minorEastAsia" w:cstheme="minorEastAsia"/>
          <w:b w:val="0"/>
          <w:bCs/>
          <w:sz w:val="21"/>
          <w:szCs w:val="21"/>
        </w:rPr>
        <w:t>2.1 遵守法律</w:t>
      </w:r>
      <w:bookmarkEnd w:id="497"/>
      <w:bookmarkEnd w:id="498"/>
      <w:bookmarkEnd w:id="49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00" w:name="_Toc113958462"/>
      <w:bookmarkStart w:id="501" w:name="_Ref11917977"/>
      <w:bookmarkStart w:id="502" w:name="_Ref11917995"/>
      <w:bookmarkStart w:id="503" w:name="_Toc54862194"/>
      <w:bookmarkStart w:id="504" w:name="_Toc4951"/>
      <w:r>
        <w:rPr>
          <w:rFonts w:hint="eastAsia" w:asciiTheme="minorEastAsia" w:hAnsiTheme="minorEastAsia" w:eastAsiaTheme="minorEastAsia" w:cstheme="minorEastAsia"/>
          <w:b w:val="0"/>
          <w:bCs/>
          <w:sz w:val="21"/>
          <w:szCs w:val="21"/>
        </w:rPr>
        <w:t>2.2 提供施工现场和工作条件</w:t>
      </w:r>
      <w:bookmarkEnd w:id="500"/>
      <w:bookmarkEnd w:id="501"/>
      <w:bookmarkEnd w:id="502"/>
      <w:bookmarkEnd w:id="503"/>
      <w:bookmarkEnd w:id="504"/>
      <w:bookmarkStart w:id="505" w:name="_Toc54862195"/>
      <w:bookmarkEnd w:id="505"/>
      <w:bookmarkStart w:id="506" w:name="_Toc54862197"/>
      <w:bookmarkEnd w:id="506"/>
      <w:bookmarkStart w:id="507" w:name="_Toc51505123"/>
      <w:bookmarkEnd w:id="507"/>
      <w:bookmarkStart w:id="508" w:name="_Toc51505124"/>
      <w:bookmarkEnd w:id="508"/>
      <w:bookmarkStart w:id="509" w:name="_Toc54862196"/>
      <w:bookmarkEnd w:id="509"/>
      <w:bookmarkStart w:id="510" w:name="_Toc51505125"/>
      <w:bookmarkEnd w:id="510"/>
      <w:bookmarkStart w:id="511" w:name="_Ref531950085"/>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2.2.1 提供施工</w:t>
      </w:r>
      <w:bookmarkEnd w:id="511"/>
      <w:r>
        <w:rPr>
          <w:rFonts w:hint="eastAsia" w:asciiTheme="minorEastAsia" w:hAnsiTheme="minorEastAsia" w:eastAsiaTheme="minorEastAsia" w:cstheme="minorEastAsia"/>
          <w:sz w:val="21"/>
        </w:rPr>
        <w:t>现场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7天前向承包人移交施工现场，但承包人未能按照第4.2款[履约担保]提供履约担保的除外。</w:t>
      </w:r>
    </w:p>
    <w:p>
      <w:pPr>
        <w:pStyle w:val="87"/>
        <w:spacing w:afterLines="0"/>
        <w:ind w:left="0" w:firstLine="420" w:firstLineChars="200"/>
        <w:rPr>
          <w:rFonts w:asciiTheme="minorEastAsia" w:hAnsiTheme="minorEastAsia" w:eastAsiaTheme="minorEastAsia" w:cstheme="minorEastAsia"/>
          <w:sz w:val="21"/>
        </w:rPr>
      </w:pPr>
      <w:bookmarkStart w:id="512" w:name="_Ref531950101"/>
      <w:r>
        <w:rPr>
          <w:rFonts w:hint="eastAsia" w:asciiTheme="minorEastAsia" w:hAnsiTheme="minorEastAsia" w:eastAsiaTheme="minorEastAsia" w:cstheme="minorEastAsia"/>
          <w:sz w:val="21"/>
        </w:rPr>
        <w:t>2.2.2 提供工作条件</w:t>
      </w:r>
      <w:bookmarkEnd w:id="51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发包人应按专用合同条件约定向承包人提供工作条件。专用合同条件对此没有约定的，发包人应负责提供开展本合同相关工作所需要的条件，包括：</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将施工用水、电力、通讯线路等施工所必需的条件接至施工现场内；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保证向承包人提供正常施工所需要的进入施工现场的交通条件；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协调处理施工现场周围地下管线和邻近建筑物、构筑物、古树名木、文物、化石及坟墓等的保护工作，并承担相关费用；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对工程现场临近发包人正在使用、运行、或由发包人用于生产的建筑物、构筑物、生产装置、设施、设备等，设置隔离设施，竖立禁止入内、禁止动火的明显标志， 并以书面形式通知承包人须遵守的安全规定和位置范围；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按照专用合同条件约定应提供的其他设施和条件。</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2.2.3 逾期提供的责任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因发包人原因未能按合同约定及时向承包人提供施工现场和施工条件的，由发包人承担由此增加的费用和（或）延误的工期。</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13" w:name="_Ref11918025"/>
      <w:bookmarkStart w:id="514" w:name="_Toc113958463"/>
      <w:bookmarkStart w:id="515" w:name="_Toc26610"/>
      <w:bookmarkStart w:id="516" w:name="_Toc54862198"/>
      <w:bookmarkStart w:id="517" w:name="_Ref11956647"/>
      <w:bookmarkStart w:id="518" w:name="_Ref11918036"/>
      <w:bookmarkStart w:id="519" w:name="_Ref11956654"/>
      <w:r>
        <w:rPr>
          <w:rFonts w:hint="eastAsia" w:asciiTheme="minorEastAsia" w:hAnsiTheme="minorEastAsia" w:eastAsiaTheme="minorEastAsia" w:cstheme="minorEastAsia"/>
          <w:b w:val="0"/>
          <w:bCs/>
          <w:sz w:val="21"/>
          <w:szCs w:val="21"/>
        </w:rPr>
        <w:t>2.3 提供基础资料</w:t>
      </w:r>
      <w:bookmarkEnd w:id="513"/>
      <w:bookmarkEnd w:id="514"/>
      <w:bookmarkEnd w:id="515"/>
      <w:bookmarkEnd w:id="516"/>
      <w:bookmarkEnd w:id="517"/>
      <w:bookmarkEnd w:id="518"/>
      <w:bookmarkEnd w:id="519"/>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520" w:name="_Hlk51506429"/>
      <w:r>
        <w:rPr>
          <w:rFonts w:hint="eastAsia" w:asciiTheme="minorEastAsia" w:hAnsiTheme="minorEastAsia" w:eastAsiaTheme="minorEastAsia" w:cstheme="minorEastAsia"/>
          <w:sz w:val="21"/>
          <w:szCs w:val="21"/>
        </w:rPr>
        <w:t>发包人应按专用合同条件和《发包人要求》中的约定向承包人提供</w:t>
      </w:r>
      <w:bookmarkEnd w:id="520"/>
      <w:r>
        <w:rPr>
          <w:rFonts w:hint="eastAsia" w:asciiTheme="minorEastAsia" w:hAnsiTheme="minorEastAsia" w:eastAsiaTheme="minorEastAsia" w:cstheme="minorEastAsia"/>
          <w:sz w:val="21"/>
          <w:szCs w:val="21"/>
        </w:rPr>
        <w:t>施工现场及工程实施所必需的毗邻区域内的供水、排水、供电、供气、供热、通信、广播电视等地上、地下管线和设施资料，气象和水文观测资料，地质勘察资料，相邻建筑物、构筑物和地下工程等有关基础资料，并根据第1.12款[《发包人要求》和基础资料中的错误]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的，由发包人承担由此增加的费用和延误的工期。</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21" w:name="_Toc113958464"/>
      <w:bookmarkStart w:id="522" w:name="_Ref531950041"/>
      <w:bookmarkStart w:id="523" w:name="_Toc54862199"/>
      <w:bookmarkStart w:id="524" w:name="_Ref531950045"/>
      <w:bookmarkStart w:id="525" w:name="_Toc3389"/>
      <w:r>
        <w:rPr>
          <w:rFonts w:hint="eastAsia" w:asciiTheme="minorEastAsia" w:hAnsiTheme="minorEastAsia" w:eastAsiaTheme="minorEastAsia" w:cstheme="minorEastAsia"/>
          <w:b w:val="0"/>
          <w:bCs/>
          <w:sz w:val="21"/>
          <w:szCs w:val="21"/>
        </w:rPr>
        <w:t>2.4 办理许可和批准</w:t>
      </w:r>
      <w:bookmarkEnd w:id="521"/>
      <w:bookmarkEnd w:id="522"/>
      <w:bookmarkEnd w:id="523"/>
      <w:bookmarkEnd w:id="524"/>
      <w:bookmarkEnd w:id="525"/>
    </w:p>
    <w:p>
      <w:pPr>
        <w:pStyle w:val="87"/>
        <w:spacing w:afterLines="0"/>
        <w:ind w:left="0" w:firstLine="420" w:firstLineChars="200"/>
        <w:rPr>
          <w:rFonts w:asciiTheme="minorEastAsia" w:hAnsiTheme="minorEastAsia" w:eastAsiaTheme="minorEastAsia" w:cstheme="minorEastAsia"/>
          <w:sz w:val="21"/>
        </w:rPr>
      </w:pPr>
      <w:bookmarkStart w:id="526" w:name="_Toc51505128"/>
      <w:r>
        <w:rPr>
          <w:rFonts w:hint="eastAsia" w:asciiTheme="minorEastAsia" w:hAnsiTheme="minorEastAsia" w:eastAsiaTheme="minorEastAsia" w:cstheme="minorEastAsia"/>
          <w:sz w:val="21"/>
        </w:rPr>
        <w:t>2.4.1 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bookmarkEnd w:id="526"/>
    </w:p>
    <w:p>
      <w:pPr>
        <w:pStyle w:val="87"/>
        <w:spacing w:afterLines="0"/>
        <w:ind w:left="0" w:firstLine="420" w:firstLineChars="200"/>
        <w:rPr>
          <w:rFonts w:asciiTheme="minorEastAsia" w:hAnsiTheme="minorEastAsia" w:eastAsiaTheme="minorEastAsia" w:cstheme="minorEastAsia"/>
          <w:sz w:val="21"/>
        </w:rPr>
      </w:pPr>
      <w:bookmarkStart w:id="527" w:name="_Toc51505129"/>
      <w:r>
        <w:rPr>
          <w:rFonts w:hint="eastAsia" w:asciiTheme="minorEastAsia" w:hAnsiTheme="minorEastAsia" w:eastAsiaTheme="minorEastAsia" w:cstheme="minorEastAsia"/>
          <w:sz w:val="21"/>
        </w:rPr>
        <w:t>2.4.2 因发包人原因未能及时办理完毕前述许可、批准或备案，由发包人承担由此增加的费用和（或）延误的工期，并支付承包人合理的利润。</w:t>
      </w:r>
      <w:bookmarkEnd w:id="527"/>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28" w:name="_Toc54862200"/>
      <w:bookmarkStart w:id="529" w:name="_Toc11897"/>
      <w:bookmarkStart w:id="530" w:name="_Ref11918060"/>
      <w:bookmarkStart w:id="531" w:name="_Ref11956533"/>
      <w:bookmarkStart w:id="532" w:name="_Ref11956525"/>
      <w:bookmarkStart w:id="533" w:name="_Ref11918070"/>
      <w:bookmarkStart w:id="534" w:name="_Toc113958465"/>
      <w:r>
        <w:rPr>
          <w:rFonts w:hint="eastAsia" w:asciiTheme="minorEastAsia" w:hAnsiTheme="minorEastAsia" w:eastAsiaTheme="minorEastAsia" w:cstheme="minorEastAsia"/>
          <w:b w:val="0"/>
          <w:bCs/>
          <w:sz w:val="21"/>
          <w:szCs w:val="21"/>
        </w:rPr>
        <w:t>2.5 支付合同价款</w:t>
      </w:r>
      <w:bookmarkEnd w:id="528"/>
      <w:bookmarkEnd w:id="529"/>
      <w:bookmarkEnd w:id="530"/>
      <w:bookmarkEnd w:id="531"/>
      <w:bookmarkEnd w:id="532"/>
      <w:bookmarkEnd w:id="533"/>
      <w:bookmarkEnd w:id="534"/>
    </w:p>
    <w:p>
      <w:pPr>
        <w:pStyle w:val="87"/>
        <w:spacing w:afterLines="0"/>
        <w:ind w:left="0" w:firstLine="420" w:firstLineChars="200"/>
        <w:rPr>
          <w:rFonts w:asciiTheme="minorEastAsia" w:hAnsiTheme="minorEastAsia" w:eastAsiaTheme="minorEastAsia" w:cstheme="minorEastAsia"/>
          <w:sz w:val="21"/>
        </w:rPr>
      </w:pPr>
      <w:bookmarkStart w:id="535" w:name="_Toc51505131"/>
      <w:bookmarkStart w:id="536" w:name="_Ref531950147"/>
      <w:r>
        <w:rPr>
          <w:rFonts w:hint="eastAsia" w:asciiTheme="minorEastAsia" w:hAnsiTheme="minorEastAsia" w:eastAsiaTheme="minorEastAsia" w:cstheme="minorEastAsia"/>
          <w:sz w:val="21"/>
        </w:rPr>
        <w:t>2.5.1 发包人应按合同约定向承包人及时支付合同价款。</w:t>
      </w:r>
      <w:bookmarkEnd w:id="535"/>
    </w:p>
    <w:bookmarkEnd w:id="536"/>
    <w:p>
      <w:pPr>
        <w:pStyle w:val="87"/>
        <w:spacing w:afterLines="0"/>
        <w:ind w:left="0" w:firstLine="420" w:firstLineChars="200"/>
        <w:rPr>
          <w:rFonts w:asciiTheme="minorEastAsia" w:hAnsiTheme="minorEastAsia" w:eastAsiaTheme="minorEastAsia" w:cstheme="minorEastAsia"/>
          <w:sz w:val="21"/>
        </w:rPr>
      </w:pPr>
      <w:bookmarkStart w:id="537" w:name="_Toc51505132"/>
      <w:r>
        <w:rPr>
          <w:rFonts w:hint="eastAsia" w:asciiTheme="minorEastAsia" w:hAnsiTheme="minorEastAsia" w:eastAsiaTheme="minorEastAsia" w:cstheme="minorEastAsia"/>
          <w:sz w:val="21"/>
        </w:rPr>
        <w:t>2.5.2 发包人应当制定资金安排计划，除专用合同条件另有约定外，如发包人拟对资金安排做任何重要变更，应将变更的详细情况通知承包人。如发生承包人收到价格大于签约合同价10%的变更指示或累计变更的总价超过签约合同价30%；或承包人未能根据第14条[合同价格与支付]收到付款，或承包人得知发包人的资金安排发生重要变更但并未收到发包人上述重要变更通知的情况，则承包人可随时要求发包人在28天内补充提供能够按照合同约定支付合同价款的相应资金来源证明。</w:t>
      </w:r>
      <w:bookmarkEnd w:id="537"/>
    </w:p>
    <w:p>
      <w:pPr>
        <w:pStyle w:val="87"/>
        <w:spacing w:afterLines="0"/>
        <w:ind w:left="0" w:firstLine="420" w:firstLineChars="200"/>
        <w:rPr>
          <w:rFonts w:asciiTheme="minorEastAsia" w:hAnsiTheme="minorEastAsia" w:eastAsiaTheme="minorEastAsia" w:cstheme="minorEastAsia"/>
          <w:sz w:val="21"/>
        </w:rPr>
      </w:pPr>
      <w:bookmarkStart w:id="538" w:name="_Toc51505133"/>
      <w:bookmarkStart w:id="539" w:name="_Ref531950161"/>
      <w:r>
        <w:rPr>
          <w:rFonts w:hint="eastAsia" w:asciiTheme="minorEastAsia" w:hAnsiTheme="minorEastAsia" w:eastAsiaTheme="minorEastAsia" w:cstheme="minorEastAsia"/>
          <w:sz w:val="21"/>
        </w:rPr>
        <w:t>2.5.3 发包人应当向承包人提供支付担保。支付担保可以采用银行保函或担保公司担保等形式，具体由合同当事人在专用合同条件中约定。</w:t>
      </w:r>
      <w:bookmarkEnd w:id="538"/>
      <w:bookmarkEnd w:id="539"/>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40" w:name="_Toc54862201"/>
      <w:bookmarkStart w:id="541" w:name="_Toc113958466"/>
      <w:bookmarkStart w:id="542" w:name="_Toc26656"/>
      <w:r>
        <w:rPr>
          <w:rFonts w:hint="eastAsia" w:asciiTheme="minorEastAsia" w:hAnsiTheme="minorEastAsia" w:eastAsiaTheme="minorEastAsia" w:cstheme="minorEastAsia"/>
          <w:b w:val="0"/>
          <w:bCs/>
          <w:sz w:val="21"/>
          <w:szCs w:val="21"/>
        </w:rPr>
        <w:t>2.6 现场管理配合</w:t>
      </w:r>
      <w:bookmarkEnd w:id="540"/>
      <w:bookmarkEnd w:id="541"/>
      <w:bookmarkEnd w:id="54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发包人应负责保证在现场或现场附近的发包人人员和发包人的其他承包人（如有）：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根据第7.3款[现场合作]的约定，与承包人进行合作；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遵守第7.5款[现场劳动用工]、第7.6款[安全文明施工]、第7.7款[职业健康</w:t>
      </w:r>
      <w:bookmarkStart w:id="543" w:name="_Ref531952761"/>
      <w:bookmarkStart w:id="544" w:name="_Ref531952756"/>
      <w:r>
        <w:rPr>
          <w:rFonts w:hint="eastAsia" w:asciiTheme="minorEastAsia" w:hAnsiTheme="minorEastAsia" w:eastAsiaTheme="minorEastAsia" w:cstheme="minorEastAsia"/>
          <w:sz w:val="21"/>
          <w:szCs w:val="21"/>
        </w:rPr>
        <w:t>]和第7.8款[环境保护]的相关约定。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发包人应与承包人、由发包人直接发包的其他承包人（如有）订立施工现场统一管理协议，明确各方的权利义务。</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45" w:name="_Toc12553"/>
      <w:bookmarkStart w:id="546" w:name="_Ref11959372"/>
      <w:bookmarkStart w:id="547" w:name="_Toc54862202"/>
      <w:bookmarkStart w:id="548" w:name="_Toc113958467"/>
      <w:bookmarkStart w:id="549" w:name="_Ref11959376"/>
      <w:r>
        <w:rPr>
          <w:rFonts w:hint="eastAsia" w:asciiTheme="minorEastAsia" w:hAnsiTheme="minorEastAsia" w:eastAsiaTheme="minorEastAsia" w:cstheme="minorEastAsia"/>
          <w:b w:val="0"/>
          <w:bCs/>
          <w:sz w:val="21"/>
          <w:szCs w:val="21"/>
        </w:rPr>
        <w:t>2.7 其他义务</w:t>
      </w:r>
      <w:bookmarkEnd w:id="545"/>
      <w:bookmarkEnd w:id="546"/>
      <w:bookmarkEnd w:id="547"/>
      <w:bookmarkEnd w:id="548"/>
      <w:bookmarkEnd w:id="54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发包人应履行合同约定的其他义务，双方可在专用合同条件内对发包人应履行的其他义务进行补充约定。</w:t>
      </w:r>
    </w:p>
    <w:bookmarkEnd w:id="543"/>
    <w:bookmarkEnd w:id="544"/>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550" w:name="_Toc19166"/>
      <w:bookmarkStart w:id="551" w:name="_Toc113958468"/>
      <w:bookmarkStart w:id="552" w:name="_Ref531952791"/>
      <w:bookmarkStart w:id="553" w:name="_Toc54862203"/>
      <w:r>
        <w:rPr>
          <w:rFonts w:hint="eastAsia" w:asciiTheme="minorEastAsia" w:hAnsiTheme="minorEastAsia" w:eastAsiaTheme="minorEastAsia" w:cstheme="minorEastAsia"/>
          <w:bCs/>
          <w:sz w:val="21"/>
          <w:szCs w:val="21"/>
        </w:rPr>
        <w:t>第3条 发包人的管理</w:t>
      </w:r>
      <w:bookmarkEnd w:id="550"/>
      <w:bookmarkEnd w:id="551"/>
      <w:bookmarkEnd w:id="552"/>
      <w:bookmarkEnd w:id="553"/>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54" w:name="_Ref522810094"/>
      <w:bookmarkStart w:id="555" w:name="_Ref522810097"/>
      <w:bookmarkStart w:id="556" w:name="_Toc113958469"/>
      <w:bookmarkStart w:id="557" w:name="_Ref531951538"/>
      <w:bookmarkStart w:id="558" w:name="_Toc23838"/>
      <w:bookmarkStart w:id="559" w:name="_Ref531951533"/>
      <w:bookmarkStart w:id="560" w:name="_Toc54862204"/>
      <w:r>
        <w:rPr>
          <w:rFonts w:hint="eastAsia" w:asciiTheme="minorEastAsia" w:hAnsiTheme="minorEastAsia" w:eastAsiaTheme="minorEastAsia" w:cstheme="minorEastAsia"/>
          <w:b w:val="0"/>
          <w:bCs/>
          <w:sz w:val="21"/>
          <w:szCs w:val="21"/>
        </w:rPr>
        <w:t>3.1 发包人</w:t>
      </w:r>
      <w:bookmarkEnd w:id="554"/>
      <w:bookmarkEnd w:id="555"/>
      <w:r>
        <w:rPr>
          <w:rFonts w:hint="eastAsia" w:asciiTheme="minorEastAsia" w:hAnsiTheme="minorEastAsia" w:eastAsiaTheme="minorEastAsia" w:cstheme="minorEastAsia"/>
          <w:b w:val="0"/>
          <w:bCs/>
          <w:sz w:val="21"/>
          <w:szCs w:val="21"/>
        </w:rPr>
        <w:t>代表</w:t>
      </w:r>
      <w:bookmarkEnd w:id="556"/>
      <w:bookmarkEnd w:id="557"/>
      <w:bookmarkEnd w:id="558"/>
      <w:bookmarkEnd w:id="559"/>
      <w:bookmarkEnd w:id="56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除非发包人另行通知承包人，发包人代表应被授予并且被认为具有发包人在授权范围内享有的相应权利，涉及第16.1款[由发包人解除合同]的权利除外。</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发包人代表（或者在其为法人的情况下，被任命代表其行事的自然人）应：</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履行指派给其的职责，行使发包人托付给的权利；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具备履行这些职责、行使这些权利的能力；</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作为熟练的专业人员行事。</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发包人代表为法人且在签订本合同时未能确定授权代表的，发包人代表应在本合同签订之日起3日内向双方发出书面通知，告知被任命和授权的自然人以及任何替代人员。此授权在双方收到本通知后生效。发包人代表撤销该授权或者变更授权代表时也应同样发出该通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发包人代表不能按照合同约定履行其职责及义务，并导致合同无法继续正常履行的，承包人可以要求发包人撤换发包人代表。</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61" w:name="_Toc3795"/>
      <w:bookmarkStart w:id="562" w:name="_Ref531951557"/>
      <w:bookmarkStart w:id="563" w:name="_Ref531951553"/>
      <w:bookmarkStart w:id="564" w:name="_Toc113958470"/>
      <w:bookmarkStart w:id="565" w:name="_Toc54862205"/>
      <w:r>
        <w:rPr>
          <w:rFonts w:hint="eastAsia" w:asciiTheme="minorEastAsia" w:hAnsiTheme="minorEastAsia" w:eastAsiaTheme="minorEastAsia" w:cstheme="minorEastAsia"/>
          <w:b w:val="0"/>
          <w:bCs/>
          <w:sz w:val="21"/>
          <w:szCs w:val="21"/>
        </w:rPr>
        <w:t>3.2 发包人人员</w:t>
      </w:r>
      <w:bookmarkEnd w:id="561"/>
      <w:bookmarkEnd w:id="562"/>
      <w:bookmarkEnd w:id="563"/>
      <w:bookmarkEnd w:id="564"/>
      <w:bookmarkEnd w:id="56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人员包括发包人代表、工程师及其他由发包人派驻施工现场的人员，发包人可以在专用合同条件中明确发包人人员的姓名、职务及职责等事项。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发包人应要求在施工现场的发包人人员遵守法律及有关安全、质量、环境保护、文明施工等规定，因发包人人员未遵守上述要求给承包人造成的损失和责任由发包人承担。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66" w:name="_Toc54862206"/>
      <w:bookmarkStart w:id="567" w:name="_Toc26949"/>
      <w:bookmarkStart w:id="568" w:name="_Toc113958471"/>
      <w:r>
        <w:rPr>
          <w:rFonts w:hint="eastAsia" w:asciiTheme="minorEastAsia" w:hAnsiTheme="minorEastAsia" w:eastAsiaTheme="minorEastAsia" w:cstheme="minorEastAsia"/>
          <w:b w:val="0"/>
          <w:bCs/>
          <w:sz w:val="21"/>
          <w:szCs w:val="21"/>
        </w:rPr>
        <w:t>3.3 工程师</w:t>
      </w:r>
      <w:bookmarkEnd w:id="566"/>
      <w:bookmarkEnd w:id="567"/>
      <w:bookmarkEnd w:id="568"/>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3.3.1 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3.3.2 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3.3.3 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3.3.4 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69" w:name="_Toc20593"/>
      <w:bookmarkStart w:id="570" w:name="_Toc54862207"/>
      <w:bookmarkStart w:id="571" w:name="_Toc113958472"/>
      <w:bookmarkStart w:id="572" w:name="_Ref531951594"/>
      <w:bookmarkStart w:id="573" w:name="_Ref531951597"/>
      <w:r>
        <w:rPr>
          <w:rFonts w:hint="eastAsia" w:asciiTheme="minorEastAsia" w:hAnsiTheme="minorEastAsia" w:eastAsiaTheme="minorEastAsia" w:cstheme="minorEastAsia"/>
          <w:b w:val="0"/>
          <w:bCs/>
          <w:sz w:val="21"/>
          <w:szCs w:val="21"/>
        </w:rPr>
        <w:t>3.4 任命和授权</w:t>
      </w:r>
      <w:bookmarkEnd w:id="569"/>
      <w:bookmarkEnd w:id="570"/>
      <w:bookmarkEnd w:id="571"/>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3.4.1 发包人应在发出开始工作通知前将工程师的任命通知承包人。更换工程师的，发包人应提前7天以书面形式通知承包人，并在通知中写明替换者的姓名、职务、职权、权限和任命时间。工程师超过2天不能履行职责的，应委派代表代行其职责，并通知承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3.4.2 工程师可以授权其他人员负责执行其指派的一项或多项工作，但第3.6款[商定或确定]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74" w:name="_Toc113958473"/>
      <w:bookmarkStart w:id="575" w:name="_Toc10199"/>
      <w:bookmarkStart w:id="576" w:name="_Toc54862208"/>
      <w:bookmarkStart w:id="577" w:name="_Ref20165400"/>
      <w:r>
        <w:rPr>
          <w:rFonts w:hint="eastAsia" w:asciiTheme="minorEastAsia" w:hAnsiTheme="minorEastAsia" w:eastAsiaTheme="minorEastAsia" w:cstheme="minorEastAsia"/>
          <w:b w:val="0"/>
          <w:bCs/>
          <w:sz w:val="21"/>
          <w:szCs w:val="21"/>
        </w:rPr>
        <w:t>3.5 指示</w:t>
      </w:r>
      <w:bookmarkEnd w:id="572"/>
      <w:bookmarkEnd w:id="573"/>
      <w:bookmarkEnd w:id="574"/>
      <w:bookmarkEnd w:id="575"/>
      <w:bookmarkEnd w:id="576"/>
      <w:bookmarkEnd w:id="577"/>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3.5.1 工程师应按照发包人的授权发出指示。工程师的指示应采用书面形式，盖有工程师授权的项目管理机构章，并由工程师的授权人员签字。在紧急情况下，工程师的授权人员可以口头形式发出指示或当场签发临时书面指示，承包人应遵照执行。工程师应在授权人员发出口头指示或临时书面指示后24小时内发出书面确认函，在24小时内未发出书面确认函的，该口头指示或临时书面指示应被视为工程师的正式指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3.5.2 承包人收到工程师作出的指示后应遵照执行。如果任何此类指示构成一项变更时，应按照第13条[变更与调整]的约定办理。</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3.5.3 由于工程师未能按合同约定发出指示、指示延误或指示错误而导致承包人费用增加和（或）工期延误的，发包人应承担由此增加的费用和（或）工期延误，并向承包人支付合理利润。</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78" w:name="_Toc27025"/>
      <w:bookmarkStart w:id="579" w:name="_Ref531951611"/>
      <w:bookmarkStart w:id="580" w:name="_Ref531951609"/>
      <w:bookmarkStart w:id="581" w:name="_Toc54862209"/>
      <w:bookmarkStart w:id="582" w:name="_Toc113958474"/>
      <w:r>
        <w:rPr>
          <w:rFonts w:hint="eastAsia" w:asciiTheme="minorEastAsia" w:hAnsiTheme="minorEastAsia" w:eastAsiaTheme="minorEastAsia" w:cstheme="minorEastAsia"/>
          <w:b w:val="0"/>
          <w:bCs/>
          <w:sz w:val="21"/>
          <w:szCs w:val="21"/>
        </w:rPr>
        <w:t>3.6 商定或确定</w:t>
      </w:r>
      <w:bookmarkEnd w:id="578"/>
      <w:bookmarkEnd w:id="579"/>
      <w:bookmarkEnd w:id="580"/>
      <w:bookmarkEnd w:id="581"/>
      <w:bookmarkEnd w:id="582"/>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3.6.1 合同约定工程师应按照本款对任何事项进行商定或确定时，工程师应及时与合同当事人协商，尽量达成一致。工程师应将商定的结果以书面形式通知发包人和承包人，并由双方签署确认。</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3.6.2 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87"/>
        <w:spacing w:afterLines="0"/>
        <w:ind w:left="0" w:firstLine="420" w:firstLineChars="200"/>
        <w:rPr>
          <w:rFonts w:asciiTheme="minorEastAsia" w:hAnsiTheme="minorEastAsia" w:eastAsiaTheme="minorEastAsia" w:cstheme="minorEastAsia"/>
          <w:sz w:val="21"/>
        </w:rPr>
      </w:pPr>
      <w:bookmarkStart w:id="583" w:name="_Ref532287856"/>
      <w:r>
        <w:rPr>
          <w:rFonts w:hint="eastAsia" w:asciiTheme="minorEastAsia" w:hAnsiTheme="minorEastAsia" w:eastAsiaTheme="minorEastAsia" w:cstheme="minorEastAsia"/>
          <w:sz w:val="21"/>
        </w:rPr>
        <w:t>3.6.3 任何一方对工程师的确定有异议的，应在收到确定的结果后28天内向另一方发出书面异议通知并抄送工程师。除第19.2款[承包人索赔的处理程序]另有约定外，工程师未能在确定的期限内发出确定的结果通知的，或者任何一方发出对确定的结果有异议的通知的，则构成争议并应按照第20条[争议解决]的约定处理。如未在28天内发出上述通知的，工程师的确定应被视为已被双方接受并对双方具有约束力，但专用合同条件另有约定的除外。</w:t>
      </w:r>
      <w:bookmarkEnd w:id="583"/>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3.6.4 在该争议解决前，双方应暂按工程师的确定执行。按照第20条[争议解决]的约定对工程师的确定作出修改的，按修改后的结果执行，由此导致承包人增加的费用和延误的工期由责任方承担。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84" w:name="_Ref531951747"/>
      <w:bookmarkStart w:id="585" w:name="_Toc113958475"/>
      <w:bookmarkStart w:id="586" w:name="_Ref531951749"/>
      <w:bookmarkStart w:id="587" w:name="_Toc19266"/>
      <w:bookmarkStart w:id="588" w:name="_Toc54862210"/>
      <w:r>
        <w:rPr>
          <w:rFonts w:hint="eastAsia" w:asciiTheme="minorEastAsia" w:hAnsiTheme="minorEastAsia" w:eastAsiaTheme="minorEastAsia" w:cstheme="minorEastAsia"/>
          <w:b w:val="0"/>
          <w:bCs/>
          <w:sz w:val="21"/>
          <w:szCs w:val="21"/>
        </w:rPr>
        <w:t>3.7 会议</w:t>
      </w:r>
      <w:bookmarkEnd w:id="584"/>
      <w:bookmarkEnd w:id="585"/>
      <w:bookmarkEnd w:id="586"/>
      <w:bookmarkEnd w:id="587"/>
      <w:bookmarkEnd w:id="588"/>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3.7.1 除专用合同条件另有约定外，任何一方可向另一方发出通知，要求另一方出席会议，讨论工程的实施安排或与本合同履行有关的其他事项。发包人的其他承包人、承包人的分包人和其他第三方可应任何一方的请求出席任何此类会议。</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3.7.2 除专用合同条件另有约定外，发包人应保存每次会议参加人签名的记录，并将会议纪要提供给出席会议的人员。任何根据此类会议以及会议纪要采取的行动应符合本合同的约定。</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589" w:name="_Toc3984"/>
      <w:bookmarkStart w:id="590" w:name="_Toc113958476"/>
      <w:bookmarkStart w:id="591" w:name="_Toc54862211"/>
      <w:bookmarkStart w:id="592" w:name="_Ref531952805"/>
      <w:r>
        <w:rPr>
          <w:rFonts w:hint="eastAsia" w:asciiTheme="minorEastAsia" w:hAnsiTheme="minorEastAsia" w:eastAsiaTheme="minorEastAsia" w:cstheme="minorEastAsia"/>
          <w:bCs/>
          <w:sz w:val="21"/>
          <w:szCs w:val="21"/>
        </w:rPr>
        <w:t>第4条 承包人</w:t>
      </w:r>
      <w:bookmarkEnd w:id="589"/>
      <w:bookmarkEnd w:id="590"/>
      <w:bookmarkEnd w:id="591"/>
      <w:bookmarkEnd w:id="592"/>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593" w:name="_Ref531951941"/>
      <w:bookmarkStart w:id="594" w:name="_Ref531951961"/>
      <w:bookmarkStart w:id="595" w:name="_Ref531951975"/>
      <w:bookmarkStart w:id="596" w:name="_Toc113958477"/>
      <w:bookmarkStart w:id="597" w:name="_Toc54862212"/>
      <w:bookmarkStart w:id="598" w:name="_Toc6950"/>
      <w:bookmarkStart w:id="599" w:name="_Ref531951945"/>
      <w:bookmarkStart w:id="600" w:name="_Ref531951958"/>
      <w:r>
        <w:rPr>
          <w:rFonts w:hint="eastAsia" w:asciiTheme="minorEastAsia" w:hAnsiTheme="minorEastAsia" w:eastAsiaTheme="minorEastAsia" w:cstheme="minorEastAsia"/>
          <w:b w:val="0"/>
          <w:bCs/>
          <w:sz w:val="21"/>
          <w:szCs w:val="21"/>
        </w:rPr>
        <w:t>4.1 承包人的一般义务</w:t>
      </w:r>
      <w:bookmarkEnd w:id="593"/>
      <w:bookmarkEnd w:id="594"/>
      <w:bookmarkEnd w:id="595"/>
      <w:bookmarkEnd w:id="596"/>
      <w:bookmarkEnd w:id="597"/>
      <w:bookmarkEnd w:id="598"/>
      <w:bookmarkEnd w:id="599"/>
      <w:bookmarkEnd w:id="600"/>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601" w:name="_Ref509046929"/>
      <w:r>
        <w:rPr>
          <w:rFonts w:hint="eastAsia" w:asciiTheme="minorEastAsia" w:hAnsiTheme="minorEastAsia" w:eastAsiaTheme="minorEastAsia" w:cstheme="minorEastAsia"/>
          <w:sz w:val="21"/>
          <w:szCs w:val="21"/>
        </w:rPr>
        <w:t>除专用合同条件另有约定外，承包人在履行合同过程中应遵守法律和工程建设标准规范，并履行以下义务：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办理法律规定和合同约定由承包人办理的许可和批准，将办理结果书面报送发包人留存，并承担因承包人违反法律或合同约定给发包人造成的任何费用和损失；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按合同约定完成全部工作并在缺陷责任期和保修期内承担缺陷保证责任和保修义务，对工作中的任何缺陷进行整改、完善和修补，使其满足合同约定的目的；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提供合同约定的工程设备和承包人文件，以及为完成合同工作所需的劳务、材料、施工设备和其他物品，并按合同约定负责临时设施的设计、施工、运行、维护、管理和拆除；</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按合同约定的工作内容和进度要求，编制设计、施工的组织和实施计划，保证项目进度计划的实现，并对所有设计、施工作业和施工方法，以及全部工程的完备性和安全可靠性负责；</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按法律规定和合同约定采取安全文明施工、职业健康和环境保护措施，办理员工工伤保险等相关保险，确保工程及人员、材料、设备和设施的安全，防止因工程实施造成的人身伤害和财产损失；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将发包人按合同约定支付的各项价款专用于合同工程，且应及时支付其雇用人员（包括建筑工人）工资，并及时向分包人支付合同价款；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在进行合同约定的各项工作时，不得侵害发包人与他人使用公用道路、水源、市政管网等公共设施的权利，避免对邻近的公共设施产生干扰。</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02" w:name="_Ref4426803"/>
      <w:bookmarkStart w:id="603" w:name="_Toc54862213"/>
      <w:bookmarkStart w:id="604" w:name="_Toc113958478"/>
      <w:bookmarkStart w:id="605" w:name="_Toc7639"/>
      <w:bookmarkStart w:id="606" w:name="_Ref4428418"/>
      <w:r>
        <w:rPr>
          <w:rFonts w:hint="eastAsia" w:asciiTheme="minorEastAsia" w:hAnsiTheme="minorEastAsia" w:eastAsiaTheme="minorEastAsia" w:cstheme="minorEastAsia"/>
          <w:b w:val="0"/>
          <w:bCs/>
          <w:sz w:val="21"/>
          <w:szCs w:val="21"/>
        </w:rPr>
        <w:t>4.2 履约担保</w:t>
      </w:r>
      <w:bookmarkEnd w:id="602"/>
      <w:bookmarkEnd w:id="603"/>
      <w:bookmarkEnd w:id="604"/>
      <w:bookmarkEnd w:id="60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需要承包人提供履约担保的，由合同当事人在专用合同条件中约定履约担保的方式、金额及提交的时间等，并应符合第2.5款[支付合同价款]的规定。履约担保可以采用银行保函或担保公司担保等形式，承包人为联合体的，其履约担保由联合体各方或者联合体中牵头人的名义代表联合体提交，具体由合同当事人在专用合同条件中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承包人应保证其履约担保在发包人竣工验收前一直有效，发包人应在竣工验收合格后7天内将履约担保款项退还给承包人或者解除履约担保。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因承包人原因导致工期延长的，继续提供履约担保所增加的费用由承包人承担；非因承包人原因导致工期延长的，继续提供履约担保所增加的费用由发包人承担。</w:t>
      </w:r>
    </w:p>
    <w:bookmarkEnd w:id="601"/>
    <w:bookmarkEnd w:id="606"/>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07" w:name="_Toc113958479"/>
      <w:bookmarkStart w:id="608" w:name="_Toc54862214"/>
      <w:bookmarkStart w:id="609" w:name="_Ref532689108"/>
      <w:bookmarkStart w:id="610" w:name="_Ref532689105"/>
      <w:bookmarkStart w:id="611" w:name="_Toc22681"/>
      <w:r>
        <w:rPr>
          <w:rFonts w:hint="eastAsia" w:asciiTheme="minorEastAsia" w:hAnsiTheme="minorEastAsia" w:eastAsiaTheme="minorEastAsia" w:cstheme="minorEastAsia"/>
          <w:b w:val="0"/>
          <w:bCs/>
          <w:sz w:val="21"/>
          <w:szCs w:val="21"/>
        </w:rPr>
        <w:t>4.3 工程总承包项目经理</w:t>
      </w:r>
      <w:bookmarkEnd w:id="607"/>
      <w:bookmarkEnd w:id="608"/>
      <w:bookmarkEnd w:id="609"/>
      <w:bookmarkEnd w:id="610"/>
      <w:bookmarkEnd w:id="611"/>
    </w:p>
    <w:p>
      <w:pPr>
        <w:pStyle w:val="87"/>
        <w:spacing w:afterLines="0"/>
        <w:ind w:left="0" w:firstLine="420" w:firstLineChars="200"/>
        <w:rPr>
          <w:rFonts w:asciiTheme="minorEastAsia" w:hAnsiTheme="minorEastAsia" w:eastAsiaTheme="minorEastAsia" w:cstheme="minorEastAsia"/>
          <w:sz w:val="21"/>
        </w:rPr>
      </w:pPr>
      <w:bookmarkStart w:id="612" w:name="_Ref532351726"/>
      <w:r>
        <w:rPr>
          <w:rFonts w:hint="eastAsia" w:asciiTheme="minorEastAsia" w:hAnsiTheme="minorEastAsia" w:eastAsiaTheme="minorEastAsia" w:cstheme="minorEastAsia"/>
          <w:sz w:val="21"/>
        </w:rPr>
        <w:t>4.3.1 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bookmarkEnd w:id="612"/>
    </w:p>
    <w:p>
      <w:pPr>
        <w:pStyle w:val="87"/>
        <w:spacing w:afterLines="0"/>
        <w:ind w:left="0" w:firstLine="420" w:firstLineChars="200"/>
        <w:rPr>
          <w:rFonts w:asciiTheme="minorEastAsia" w:hAnsiTheme="minorEastAsia" w:eastAsiaTheme="minorEastAsia" w:cstheme="minorEastAsia"/>
          <w:sz w:val="21"/>
        </w:rPr>
      </w:pPr>
      <w:bookmarkStart w:id="613" w:name="_Ref532689263"/>
      <w:r>
        <w:rPr>
          <w:rFonts w:hint="eastAsia" w:asciiTheme="minorEastAsia" w:hAnsiTheme="minorEastAsia" w:eastAsiaTheme="minorEastAsia" w:cstheme="minorEastAsia"/>
          <w:sz w:val="21"/>
        </w:rPr>
        <w:t>4.3.2 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bookmarkEnd w:id="613"/>
    </w:p>
    <w:p>
      <w:pPr>
        <w:pStyle w:val="87"/>
        <w:spacing w:afterLines="0"/>
        <w:ind w:left="0" w:firstLine="420" w:firstLineChars="200"/>
        <w:rPr>
          <w:rFonts w:asciiTheme="minorEastAsia" w:hAnsiTheme="minorEastAsia" w:eastAsiaTheme="minorEastAsia" w:cstheme="minorEastAsia"/>
          <w:sz w:val="21"/>
        </w:rPr>
      </w:pPr>
      <w:bookmarkStart w:id="614" w:name="_Ref532689178"/>
      <w:bookmarkStart w:id="615" w:name="_Ref531952112"/>
      <w:r>
        <w:rPr>
          <w:rFonts w:hint="eastAsia" w:asciiTheme="minorEastAsia" w:hAnsiTheme="minorEastAsia" w:eastAsiaTheme="minorEastAsia" w:cstheme="minorEastAsia"/>
          <w:sz w:val="21"/>
        </w:rPr>
        <w:t>4.3.3 承包人应根据本合同的约定授予工程总承包项目经理代表承包人履行合同所需的权利，工程总承包项目经理权限以专用合同条件中约定的权限为准。经承包人授权后，工程总承包项目经理应按合同约定以及工程师按第3.5款[指示]作出的指示，代表承包人负责组织合同的实施。在紧急情况下，且无法与发包人和工程师取得联系时，工程总承包项目经理有权采取必要的措施保证人身、工程和财产的安全，但须在事后48小时内向工程师送交书面报告。</w:t>
      </w:r>
      <w:bookmarkEnd w:id="614"/>
    </w:p>
    <w:bookmarkEnd w:id="615"/>
    <w:p>
      <w:pPr>
        <w:pStyle w:val="87"/>
        <w:spacing w:afterLines="0"/>
        <w:ind w:left="0" w:firstLine="420" w:firstLineChars="200"/>
        <w:rPr>
          <w:rFonts w:asciiTheme="minorEastAsia" w:hAnsiTheme="minorEastAsia" w:eastAsiaTheme="minorEastAsia" w:cstheme="minorEastAsia"/>
          <w:sz w:val="21"/>
        </w:rPr>
      </w:pPr>
      <w:bookmarkStart w:id="616" w:name="_Ref4426412"/>
      <w:r>
        <w:rPr>
          <w:rFonts w:hint="eastAsia" w:asciiTheme="minorEastAsia" w:hAnsiTheme="minorEastAsia" w:eastAsiaTheme="minorEastAsia" w:cstheme="minorEastAsia"/>
          <w:sz w:val="21"/>
        </w:rPr>
        <w:t>4.3.4 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w:t>
      </w:r>
      <w:bookmarkStart w:id="617" w:name="_Hlk55056591"/>
      <w:r>
        <w:rPr>
          <w:rFonts w:hint="eastAsia" w:asciiTheme="minorEastAsia" w:hAnsiTheme="minorEastAsia" w:eastAsiaTheme="minorEastAsia" w:cstheme="minorEastAsia"/>
          <w:sz w:val="21"/>
        </w:rPr>
        <w:t>应按照专用合同条件的约定承担违约责任。</w:t>
      </w:r>
      <w:bookmarkEnd w:id="616"/>
      <w:bookmarkEnd w:id="617"/>
    </w:p>
    <w:p>
      <w:pPr>
        <w:pStyle w:val="87"/>
        <w:spacing w:afterLines="0"/>
        <w:ind w:left="0" w:firstLine="420" w:firstLineChars="200"/>
        <w:rPr>
          <w:rFonts w:asciiTheme="minorEastAsia" w:hAnsiTheme="minorEastAsia" w:eastAsiaTheme="minorEastAsia" w:cstheme="minorEastAsia"/>
          <w:sz w:val="21"/>
        </w:rPr>
      </w:pPr>
      <w:bookmarkStart w:id="618" w:name="_Ref531952137"/>
      <w:r>
        <w:rPr>
          <w:rFonts w:hint="eastAsia" w:asciiTheme="minorEastAsia" w:hAnsiTheme="minorEastAsia" w:eastAsiaTheme="minorEastAsia" w:cstheme="minorEastAsia"/>
          <w:sz w:val="21"/>
        </w:rPr>
        <w:t>4.3.5 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28天内更换项目经理。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bookmarkEnd w:id="618"/>
    </w:p>
    <w:p>
      <w:pPr>
        <w:pStyle w:val="87"/>
        <w:spacing w:afterLines="0"/>
        <w:ind w:left="0" w:firstLine="420" w:firstLineChars="200"/>
        <w:rPr>
          <w:rFonts w:asciiTheme="minorEastAsia" w:hAnsiTheme="minorEastAsia" w:eastAsiaTheme="minorEastAsia" w:cstheme="minorEastAsia"/>
          <w:sz w:val="21"/>
        </w:rPr>
      </w:pPr>
      <w:bookmarkStart w:id="619" w:name="_Ref122620"/>
      <w:r>
        <w:rPr>
          <w:rFonts w:hint="eastAsia" w:asciiTheme="minorEastAsia" w:hAnsiTheme="minorEastAsia" w:eastAsiaTheme="minorEastAsia" w:cstheme="minorEastAsia"/>
          <w:sz w:val="21"/>
        </w:rPr>
        <w:t>4.3.6 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bookmarkEnd w:id="619"/>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20" w:name="_Toc113958480"/>
      <w:bookmarkStart w:id="621" w:name="_Toc1599"/>
      <w:bookmarkStart w:id="622" w:name="_Ref531952172"/>
      <w:bookmarkStart w:id="623" w:name="_Toc54862215"/>
      <w:bookmarkStart w:id="624" w:name="_Ref531952175"/>
      <w:r>
        <w:rPr>
          <w:rFonts w:hint="eastAsia" w:asciiTheme="minorEastAsia" w:hAnsiTheme="minorEastAsia" w:eastAsiaTheme="minorEastAsia" w:cstheme="minorEastAsia"/>
          <w:b w:val="0"/>
          <w:bCs/>
          <w:sz w:val="21"/>
          <w:szCs w:val="21"/>
        </w:rPr>
        <w:t>4.4 承包人人员</w:t>
      </w:r>
      <w:bookmarkEnd w:id="620"/>
      <w:bookmarkEnd w:id="621"/>
      <w:bookmarkEnd w:id="622"/>
      <w:bookmarkEnd w:id="623"/>
      <w:bookmarkEnd w:id="624"/>
    </w:p>
    <w:p>
      <w:pPr>
        <w:pStyle w:val="87"/>
        <w:spacing w:afterLines="0"/>
        <w:ind w:left="0" w:firstLine="420" w:firstLineChars="200"/>
        <w:rPr>
          <w:rFonts w:asciiTheme="minorEastAsia" w:hAnsiTheme="minorEastAsia" w:eastAsiaTheme="minorEastAsia" w:cstheme="minorEastAsia"/>
          <w:sz w:val="21"/>
        </w:rPr>
      </w:pPr>
      <w:bookmarkStart w:id="625" w:name="_Ref531952185"/>
      <w:r>
        <w:rPr>
          <w:rFonts w:hint="eastAsia" w:asciiTheme="minorEastAsia" w:hAnsiTheme="minorEastAsia" w:eastAsiaTheme="minorEastAsia" w:cstheme="minorEastAsia"/>
          <w:sz w:val="21"/>
        </w:rPr>
        <w:t>4.4.1 人员安排</w:t>
      </w:r>
      <w:bookmarkEnd w:id="62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关键人员</w:t>
      </w:r>
      <w:bookmarkStart w:id="626" w:name="_Hlk16210335"/>
      <w:r>
        <w:rPr>
          <w:rFonts w:hint="eastAsia" w:asciiTheme="minorEastAsia" w:hAnsiTheme="minorEastAsia" w:eastAsiaTheme="minorEastAsia" w:cstheme="minorEastAsia"/>
          <w:sz w:val="21"/>
          <w:szCs w:val="21"/>
        </w:rPr>
        <w:t>是发包人及承包人一致认为对工程建设起重要作用的承包人主要管理人员或技术人员。关键人员的具体范围由发包人及承包人在附件5[承包人主要管理人员表]中另行约定。</w:t>
      </w:r>
    </w:p>
    <w:bookmarkEnd w:id="626"/>
    <w:p>
      <w:pPr>
        <w:pStyle w:val="87"/>
        <w:spacing w:afterLines="0"/>
        <w:ind w:left="0" w:firstLine="420" w:firstLineChars="200"/>
        <w:rPr>
          <w:rFonts w:asciiTheme="minorEastAsia" w:hAnsiTheme="minorEastAsia" w:eastAsiaTheme="minorEastAsia" w:cstheme="minorEastAsia"/>
          <w:sz w:val="21"/>
        </w:rPr>
      </w:pPr>
      <w:bookmarkStart w:id="627" w:name="_Ref4426641"/>
      <w:bookmarkStart w:id="628" w:name="_Ref531952211"/>
      <w:r>
        <w:rPr>
          <w:rFonts w:hint="eastAsia" w:asciiTheme="minorEastAsia" w:hAnsiTheme="minorEastAsia" w:eastAsiaTheme="minorEastAsia" w:cstheme="minorEastAsia"/>
          <w:sz w:val="21"/>
        </w:rPr>
        <w:t>4.4.2 关键人员更换</w:t>
      </w:r>
      <w:bookmarkEnd w:id="627"/>
      <w:bookmarkEnd w:id="62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87"/>
        <w:spacing w:afterLines="0"/>
        <w:ind w:left="0" w:firstLine="420" w:firstLineChars="200"/>
        <w:rPr>
          <w:rFonts w:asciiTheme="minorEastAsia" w:hAnsiTheme="minorEastAsia" w:eastAsiaTheme="minorEastAsia" w:cstheme="minorEastAsia"/>
          <w:sz w:val="21"/>
        </w:rPr>
      </w:pPr>
      <w:bookmarkStart w:id="629" w:name="_Ref531952227"/>
      <w:r>
        <w:rPr>
          <w:rFonts w:hint="eastAsia" w:asciiTheme="minorEastAsia" w:hAnsiTheme="minorEastAsia" w:eastAsiaTheme="minorEastAsia" w:cstheme="minorEastAsia"/>
          <w:sz w:val="21"/>
        </w:rPr>
        <w:t>4.4.3 现场管理关键人员在岗要求</w:t>
      </w:r>
      <w:bookmarkEnd w:id="62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30" w:name="_Ref531952262"/>
      <w:bookmarkStart w:id="631" w:name="_Toc12347"/>
      <w:bookmarkStart w:id="632" w:name="_Toc113958481"/>
      <w:bookmarkStart w:id="633" w:name="_Toc54862216"/>
      <w:bookmarkStart w:id="634" w:name="_Ref531952259"/>
      <w:r>
        <w:rPr>
          <w:rFonts w:hint="eastAsia" w:asciiTheme="minorEastAsia" w:hAnsiTheme="minorEastAsia" w:eastAsiaTheme="minorEastAsia" w:cstheme="minorEastAsia"/>
          <w:b w:val="0"/>
          <w:bCs/>
          <w:sz w:val="21"/>
          <w:szCs w:val="21"/>
        </w:rPr>
        <w:t>4.5 分包</w:t>
      </w:r>
      <w:bookmarkEnd w:id="630"/>
      <w:bookmarkEnd w:id="631"/>
      <w:bookmarkEnd w:id="632"/>
      <w:bookmarkEnd w:id="633"/>
      <w:bookmarkEnd w:id="634"/>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635" w:name="_Ref531952273"/>
      <w:r>
        <w:rPr>
          <w:rFonts w:hint="eastAsia" w:asciiTheme="minorEastAsia" w:hAnsiTheme="minorEastAsia" w:eastAsiaTheme="minorEastAsia" w:cstheme="minorEastAsia"/>
          <w:sz w:val="21"/>
        </w:rPr>
        <w:t>4.5.1 一般约定</w:t>
      </w:r>
      <w:bookmarkEnd w:id="63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pPr>
        <w:pStyle w:val="87"/>
        <w:spacing w:afterLines="0"/>
        <w:ind w:left="0" w:firstLine="420" w:firstLineChars="200"/>
        <w:rPr>
          <w:rFonts w:asciiTheme="minorEastAsia" w:hAnsiTheme="minorEastAsia" w:eastAsiaTheme="minorEastAsia" w:cstheme="minorEastAsia"/>
          <w:sz w:val="21"/>
        </w:rPr>
      </w:pPr>
      <w:bookmarkStart w:id="636" w:name="_Ref531952286"/>
      <w:r>
        <w:rPr>
          <w:rFonts w:hint="eastAsia" w:asciiTheme="minorEastAsia" w:hAnsiTheme="minorEastAsia" w:eastAsiaTheme="minorEastAsia" w:cstheme="minorEastAsia"/>
          <w:sz w:val="21"/>
        </w:rPr>
        <w:t>4.5.2 分包的确定</w:t>
      </w:r>
      <w:bookmarkEnd w:id="63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承包人应按照专用合同条件约定对工作事项进行分包，确定分包人。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4.5.3 分包人资质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分包人应符合国家法律规定的资质等级，否则不能作为分包人。承包人有义务对分包人的资质进行审查。</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4.5.4 分包管理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87"/>
        <w:spacing w:afterLines="0"/>
        <w:ind w:left="0" w:firstLine="420" w:firstLineChars="200"/>
        <w:rPr>
          <w:rFonts w:asciiTheme="minorEastAsia" w:hAnsiTheme="minorEastAsia" w:eastAsiaTheme="minorEastAsia" w:cstheme="minorEastAsia"/>
          <w:sz w:val="21"/>
        </w:rPr>
      </w:pPr>
      <w:bookmarkStart w:id="637" w:name="_Ref531952298"/>
      <w:r>
        <w:rPr>
          <w:rFonts w:hint="eastAsia" w:asciiTheme="minorEastAsia" w:hAnsiTheme="minorEastAsia" w:eastAsiaTheme="minorEastAsia" w:cstheme="minorEastAsia"/>
          <w:sz w:val="21"/>
        </w:rPr>
        <w:t>4.5.5 分包合同价款支付</w:t>
      </w:r>
      <w:bookmarkEnd w:id="63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除本项第（2）目约定的情况或专用合同条件另有约定外，分包合同价款由承包人与分包人结算，未经承包人同意，发包人不得向分包人支付分包合同价款；</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638" w:name="_Ref4613798"/>
      <w:r>
        <w:rPr>
          <w:rFonts w:hint="eastAsia" w:asciiTheme="minorEastAsia" w:hAnsiTheme="minorEastAsia" w:eastAsiaTheme="minorEastAsia" w:cstheme="minorEastAsia"/>
          <w:sz w:val="21"/>
          <w:szCs w:val="21"/>
        </w:rPr>
        <w:t>（2） 生效法律文书要求发包人向分包人支付分包合同价款的，发包人有权从应付承包人工程款中扣除该部分款项</w:t>
      </w:r>
      <w:bookmarkEnd w:id="638"/>
      <w:r>
        <w:rPr>
          <w:rFonts w:hint="eastAsia" w:asciiTheme="minorEastAsia" w:hAnsiTheme="minorEastAsia" w:eastAsiaTheme="minorEastAsia" w:cstheme="minorEastAsia"/>
          <w:sz w:val="21"/>
          <w:szCs w:val="21"/>
        </w:rPr>
        <w:t>，将扣款直接支付给分包人，并书面通知承包人。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4.5.6 责任承担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承包人对分包人的行为向发包人负责，承包人和分包人就分包工作向发包人承担连带责任。</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39" w:name="_Toc54862217"/>
      <w:bookmarkStart w:id="640" w:name="_Toc113958482"/>
      <w:bookmarkStart w:id="641" w:name="_Ref4426916"/>
      <w:bookmarkStart w:id="642" w:name="_Toc29551"/>
      <w:bookmarkStart w:id="643" w:name="_Ref4768805"/>
      <w:bookmarkStart w:id="644" w:name="_Ref531952317"/>
      <w:bookmarkStart w:id="645" w:name="_Ref531952321"/>
      <w:r>
        <w:rPr>
          <w:rFonts w:hint="eastAsia" w:asciiTheme="minorEastAsia" w:hAnsiTheme="minorEastAsia" w:eastAsiaTheme="minorEastAsia" w:cstheme="minorEastAsia"/>
          <w:b w:val="0"/>
          <w:bCs/>
          <w:sz w:val="21"/>
          <w:szCs w:val="21"/>
        </w:rPr>
        <w:t>4.6 联合体</w:t>
      </w:r>
      <w:bookmarkEnd w:id="639"/>
      <w:bookmarkEnd w:id="640"/>
      <w:bookmarkEnd w:id="641"/>
      <w:bookmarkEnd w:id="642"/>
    </w:p>
    <w:p>
      <w:pPr>
        <w:pStyle w:val="87"/>
        <w:spacing w:afterLines="0"/>
        <w:ind w:left="0" w:firstLine="420" w:firstLineChars="200"/>
        <w:rPr>
          <w:rFonts w:asciiTheme="minorEastAsia" w:hAnsiTheme="minorEastAsia" w:eastAsiaTheme="minorEastAsia" w:cstheme="minorEastAsia"/>
          <w:sz w:val="21"/>
        </w:rPr>
      </w:pPr>
      <w:bookmarkStart w:id="646" w:name="_Hlk16235129"/>
      <w:r>
        <w:rPr>
          <w:rFonts w:hint="eastAsia" w:asciiTheme="minorEastAsia" w:hAnsiTheme="minorEastAsia" w:eastAsiaTheme="minorEastAsia" w:cstheme="minorEastAsia"/>
          <w:sz w:val="21"/>
        </w:rPr>
        <w:t>4.6.1 经发包人同意，</w:t>
      </w:r>
      <w:bookmarkEnd w:id="646"/>
      <w:r>
        <w:rPr>
          <w:rFonts w:hint="eastAsia" w:asciiTheme="minorEastAsia" w:hAnsiTheme="minorEastAsia" w:eastAsiaTheme="minorEastAsia" w:cstheme="minorEastAsia"/>
          <w:sz w:val="21"/>
        </w:rPr>
        <w:t>以联合体方式承包工程的，联合体各方应共同与发包人订立合同协议书。联合体各方应为履行合同向发包人承担连带责任。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4.6.2 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4.6.3 联合体协议经发包人确认后作为合同附件。在履行合同过程中，未经发包人同意，不得变更联合体成员和其负责的工作范围，或者修改联合体协议中与本合同履行相关的内容。</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47" w:name="_Ref11926629"/>
      <w:bookmarkStart w:id="648" w:name="_Toc113958483"/>
      <w:bookmarkStart w:id="649" w:name="_Ref11926631"/>
      <w:bookmarkStart w:id="650" w:name="_Toc54862218"/>
      <w:bookmarkStart w:id="651" w:name="_Toc6287"/>
      <w:r>
        <w:rPr>
          <w:rFonts w:hint="eastAsia" w:asciiTheme="minorEastAsia" w:hAnsiTheme="minorEastAsia" w:eastAsiaTheme="minorEastAsia" w:cstheme="minorEastAsia"/>
          <w:b w:val="0"/>
          <w:bCs/>
          <w:sz w:val="21"/>
          <w:szCs w:val="21"/>
        </w:rPr>
        <w:t>4.7 承包人现场查勘</w:t>
      </w:r>
      <w:bookmarkEnd w:id="647"/>
      <w:bookmarkEnd w:id="648"/>
      <w:bookmarkEnd w:id="649"/>
      <w:bookmarkEnd w:id="650"/>
      <w:bookmarkEnd w:id="651"/>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4.7.1 除专用合同条件另有约定外，承包人应对基于发包人提交的基础资料所做出的解释和推断负责，因基础资料存在错误、遗漏导致承包人解释或推断失实的，按照第2.3项[提供基础资料]的规定承担责任。承包人发现基础资料中存在明显错误或疏忽的，应及时书面通知发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4.7.2 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4.8款[不可预见的困难]约定的情形除外。</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52" w:name="不可预见的困难"/>
      <w:bookmarkStart w:id="653" w:name="_Ref11918626"/>
      <w:bookmarkStart w:id="654" w:name="_Toc54862219"/>
      <w:bookmarkStart w:id="655" w:name="_Toc113958484"/>
      <w:bookmarkStart w:id="656" w:name="_Toc1644"/>
      <w:bookmarkStart w:id="657" w:name="_Ref11918789"/>
      <w:bookmarkStart w:id="658" w:name="_Ref11918693"/>
      <w:r>
        <w:rPr>
          <w:rFonts w:hint="eastAsia" w:asciiTheme="minorEastAsia" w:hAnsiTheme="minorEastAsia" w:eastAsiaTheme="minorEastAsia" w:cstheme="minorEastAsia"/>
          <w:b w:val="0"/>
          <w:bCs/>
          <w:sz w:val="21"/>
          <w:szCs w:val="21"/>
        </w:rPr>
        <w:t>4.8 不可预见的困难</w:t>
      </w:r>
      <w:bookmarkEnd w:id="643"/>
      <w:bookmarkEnd w:id="644"/>
      <w:bookmarkEnd w:id="645"/>
      <w:bookmarkEnd w:id="652"/>
      <w:bookmarkEnd w:id="653"/>
      <w:bookmarkEnd w:id="654"/>
      <w:bookmarkEnd w:id="655"/>
      <w:bookmarkEnd w:id="656"/>
      <w:bookmarkEnd w:id="657"/>
      <w:bookmarkEnd w:id="658"/>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13条[变更与调整]约定执行。承包人因采取合理措施而增加的费用和（或）延误的工期由发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59" w:name="_Toc113958485"/>
      <w:bookmarkStart w:id="660" w:name="_Ref11926570"/>
      <w:bookmarkStart w:id="661" w:name="_Ref11926566"/>
      <w:bookmarkStart w:id="662" w:name="_Toc26828"/>
      <w:bookmarkStart w:id="663" w:name="_Toc54862220"/>
      <w:r>
        <w:rPr>
          <w:rFonts w:hint="eastAsia" w:asciiTheme="minorEastAsia" w:hAnsiTheme="minorEastAsia" w:eastAsiaTheme="minorEastAsia" w:cstheme="minorEastAsia"/>
          <w:b w:val="0"/>
          <w:bCs/>
          <w:sz w:val="21"/>
          <w:szCs w:val="21"/>
        </w:rPr>
        <w:t>4.9 工程质量管理</w:t>
      </w:r>
      <w:bookmarkEnd w:id="659"/>
      <w:bookmarkEnd w:id="660"/>
      <w:bookmarkEnd w:id="661"/>
      <w:bookmarkEnd w:id="662"/>
      <w:bookmarkEnd w:id="663"/>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4.9.1 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4.9.2 承包人按照第8.4款[项目进度计划]约定向工程师提交工程质量保证体系及措施文件，建立完善的质量检查制度，并提交相应的工程质量文件。对于发包人和工程师违反法律规定和合同约定的错误指示，承包人有权拒绝实施。</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4.9.3 承包人应对其人员进行质量教育和技术培训，定期考核人员的劳动技能，严格执行相关规范和操作规程。</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4.9.4 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664" w:name="_Toc113958486"/>
      <w:bookmarkStart w:id="665" w:name="_Toc54862221"/>
      <w:bookmarkStart w:id="666" w:name="_Ref531952837"/>
      <w:bookmarkStart w:id="667" w:name="_Toc12977"/>
      <w:r>
        <w:rPr>
          <w:rFonts w:hint="eastAsia" w:asciiTheme="minorEastAsia" w:hAnsiTheme="minorEastAsia" w:eastAsiaTheme="minorEastAsia" w:cstheme="minorEastAsia"/>
          <w:bCs/>
          <w:sz w:val="21"/>
          <w:szCs w:val="21"/>
        </w:rPr>
        <w:t>第5条 设计</w:t>
      </w:r>
      <w:bookmarkEnd w:id="664"/>
      <w:bookmarkEnd w:id="665"/>
      <w:bookmarkEnd w:id="666"/>
      <w:bookmarkEnd w:id="667"/>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68" w:name="_Ref531952860"/>
      <w:bookmarkStart w:id="669" w:name="_Toc54862222"/>
      <w:bookmarkStart w:id="670" w:name="_Toc113958487"/>
      <w:bookmarkStart w:id="671" w:name="_Toc25375"/>
      <w:bookmarkStart w:id="672" w:name="_Ref531952863"/>
      <w:r>
        <w:rPr>
          <w:rFonts w:hint="eastAsia" w:asciiTheme="minorEastAsia" w:hAnsiTheme="minorEastAsia" w:eastAsiaTheme="minorEastAsia" w:cstheme="minorEastAsia"/>
          <w:b w:val="0"/>
          <w:bCs/>
          <w:sz w:val="21"/>
          <w:szCs w:val="21"/>
        </w:rPr>
        <w:t>5.1 承包人的设计义务</w:t>
      </w:r>
      <w:bookmarkEnd w:id="668"/>
      <w:bookmarkEnd w:id="669"/>
      <w:bookmarkEnd w:id="670"/>
      <w:bookmarkEnd w:id="671"/>
      <w:bookmarkEnd w:id="672"/>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673" w:name="_Ref531952881"/>
      <w:r>
        <w:rPr>
          <w:rFonts w:hint="eastAsia" w:asciiTheme="minorEastAsia" w:hAnsiTheme="minorEastAsia" w:eastAsiaTheme="minorEastAsia" w:cstheme="minorEastAsia"/>
          <w:sz w:val="21"/>
        </w:rPr>
        <w:t>5.1.1 设计义务的一般要求</w:t>
      </w:r>
      <w:bookmarkEnd w:id="67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当按照法律规定，国家、行业和地方的规范和标准，以及《发包人要求》和合同约定完成设计工作和设计相关的其他服务，并对工程的设计负责。承包人应根据工程实施的需要及时向发包人和工程师说明设计文件的意图，解释设计文件。</w:t>
      </w:r>
    </w:p>
    <w:p>
      <w:pPr>
        <w:pStyle w:val="87"/>
        <w:spacing w:afterLines="0"/>
        <w:ind w:left="0" w:firstLine="420" w:firstLineChars="200"/>
        <w:rPr>
          <w:rFonts w:asciiTheme="minorEastAsia" w:hAnsiTheme="minorEastAsia" w:eastAsiaTheme="minorEastAsia" w:cstheme="minorEastAsia"/>
          <w:sz w:val="21"/>
        </w:rPr>
      </w:pPr>
      <w:bookmarkStart w:id="674" w:name="_Ref531952952"/>
      <w:bookmarkStart w:id="675" w:name="_Ref531952899"/>
      <w:r>
        <w:rPr>
          <w:rFonts w:hint="eastAsia" w:asciiTheme="minorEastAsia" w:hAnsiTheme="minorEastAsia" w:eastAsiaTheme="minorEastAsia" w:cstheme="minorEastAsia"/>
          <w:sz w:val="21"/>
        </w:rPr>
        <w:t>5.1.2 对设计人员的要求</w:t>
      </w:r>
      <w:bookmarkEnd w:id="67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保证其或其设计分包人的设计资质在合同有效期内满足法律法规、行业标准或合同约定的相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bookmarkEnd w:id="675"/>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5.1.3 法律和标准的变化</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13.2款[承包人的合理化建议]的约定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在基准日期之后，因国家颁布新的强制性规范、标准导致承包人的费用变化的，发包人应合理调整合同价格；导致工期延误的，发包人应合理延长工期。</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76" w:name="_Toc113958488"/>
      <w:bookmarkStart w:id="677" w:name="_Ref531953054"/>
      <w:bookmarkStart w:id="678" w:name="_Ref531953051"/>
      <w:bookmarkStart w:id="679" w:name="_Toc54862223"/>
      <w:bookmarkStart w:id="680" w:name="_Toc17392"/>
      <w:r>
        <w:rPr>
          <w:rFonts w:hint="eastAsia" w:asciiTheme="minorEastAsia" w:hAnsiTheme="minorEastAsia" w:eastAsiaTheme="minorEastAsia" w:cstheme="minorEastAsia"/>
          <w:b w:val="0"/>
          <w:bCs/>
          <w:sz w:val="21"/>
          <w:szCs w:val="21"/>
        </w:rPr>
        <w:t>5.2 承包人文件审查</w:t>
      </w:r>
      <w:bookmarkEnd w:id="676"/>
      <w:bookmarkEnd w:id="677"/>
      <w:bookmarkEnd w:id="678"/>
      <w:bookmarkEnd w:id="679"/>
      <w:bookmarkEnd w:id="680"/>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681" w:name="_Ref531953064"/>
      <w:r>
        <w:rPr>
          <w:rFonts w:hint="eastAsia" w:asciiTheme="minorEastAsia" w:hAnsiTheme="minorEastAsia" w:eastAsiaTheme="minorEastAsia" w:cstheme="minorEastAsia"/>
          <w:sz w:val="21"/>
        </w:rPr>
        <w:t>5.2.1 根据《发包人要求》应当通过工程师报发包人审查同意的承包人文件，承包人应当按照《发包人要求》约定的范围和内容及时报送审查。</w:t>
      </w:r>
      <w:bookmarkEnd w:id="68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发包人同意承包人文件的，应及时通知承包人，发包人不同意承包人文件的，应在审查期限内通过工程师以书面形式通知承包人，并说明不同意的具体内容和理由。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承包人对发包人的意见按以下方式处理：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发包人的意见构成变更的，承包人应在7天内通知发包人按照第13条[变更与调整]中关于发包人指示变更的约定执行，双方对是否构成变更无法达成一致的，按照第20条[争议解决]的约定执行；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因承包人原因导致无法通过审查的，承包人应根据发包人的书面说明，对承包人文件进行修改后重新报送发包人审查，审查期重新起算。因此引起的工期延长和必要的工程费用增加，由承包人负责。</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合同约定的审查期满，发包人没有做出审查结论也没有提出异议的，视为承包人文件已获发包人同意。</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发包人对承包人文件的审查和同意不得被理解为对合同的修改或改变，也并不减轻或免除承包人任何的责任和义务。</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5.2.2 承包人文件不需要政府有关部门或专用合同条件约定的第三方审查单位审查或批准的，承包人应当严格按照经发包人审查同意的承包人文件设计和实施工程。</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发包人有义务向承包人提供审查会议的批准文件和纪要。承包人有义务按照相关审查会议批准的文件和纪要，并依据合同约定及相关技术标准，对承包人文件进行修改、补充和完善。</w:t>
      </w:r>
    </w:p>
    <w:p>
      <w:pPr>
        <w:pStyle w:val="87"/>
        <w:spacing w:afterLines="0"/>
        <w:ind w:left="0" w:firstLine="420" w:firstLineChars="200"/>
        <w:rPr>
          <w:rFonts w:asciiTheme="minorEastAsia" w:hAnsiTheme="minorEastAsia" w:eastAsiaTheme="minorEastAsia" w:cstheme="minorEastAsia"/>
          <w:sz w:val="21"/>
        </w:rPr>
      </w:pPr>
      <w:bookmarkStart w:id="682" w:name="_Ref531953074"/>
      <w:r>
        <w:rPr>
          <w:rFonts w:hint="eastAsia" w:asciiTheme="minorEastAsia" w:hAnsiTheme="minorEastAsia" w:eastAsiaTheme="minorEastAsia" w:cstheme="minorEastAsia"/>
          <w:sz w:val="21"/>
        </w:rPr>
        <w:t>5.2.3 承包人文件需政府有关部门或专用合同条件约定的第三方审查单位审查或批准的，发包人应在发包人审查同意承包人文件后7天内，向政府有关部门或第三方报送承包人文件，承包人应予以协助。</w:t>
      </w:r>
      <w:bookmarkEnd w:id="68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政府有关部门或第三方审查单位的审查意见，不需要修改《发包人要求》的，承包人需按该审查意见修改承包人的设计文件；需要修改《发包人要求》的，承包人应按第13.2款[承包人的合理化建议]的约定执行。上述情形还应适用第5.1款[承包人的设计义务]和第13条[变更与调整]的有关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83" w:name="_Toc54862224"/>
      <w:bookmarkStart w:id="684" w:name="_Ref531953095"/>
      <w:bookmarkStart w:id="685" w:name="_Toc113958489"/>
      <w:bookmarkStart w:id="686" w:name="_Toc13789"/>
      <w:bookmarkStart w:id="687" w:name="_Ref531953097"/>
      <w:r>
        <w:rPr>
          <w:rFonts w:hint="eastAsia" w:asciiTheme="minorEastAsia" w:hAnsiTheme="minorEastAsia" w:eastAsiaTheme="minorEastAsia" w:cstheme="minorEastAsia"/>
          <w:b w:val="0"/>
          <w:bCs/>
          <w:sz w:val="21"/>
          <w:szCs w:val="21"/>
        </w:rPr>
        <w:t>5.3 培训</w:t>
      </w:r>
      <w:bookmarkEnd w:id="683"/>
      <w:bookmarkEnd w:id="684"/>
      <w:bookmarkEnd w:id="685"/>
      <w:bookmarkEnd w:id="686"/>
      <w:bookmarkEnd w:id="68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发包人要求》，对发包人的雇员或其它发包人指定的人员进行工程操作、维修或其它合同中约定的培训。合同约定接收之前进行培训的，应在第10.1款[竣工验收]约定的竣工验收前或试运行结束前完成培训。</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培训的时长应由双方在专用合同条件中约定，承包人应为培训提供有经验的人员、设施和其它必要条件。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88" w:name="_Toc8936"/>
      <w:bookmarkStart w:id="689" w:name="_Ref531953105"/>
      <w:bookmarkStart w:id="690" w:name="_Toc113958490"/>
      <w:bookmarkStart w:id="691" w:name="_Toc54862225"/>
      <w:bookmarkStart w:id="692" w:name="_Ref531953108"/>
      <w:r>
        <w:rPr>
          <w:rFonts w:hint="eastAsia" w:asciiTheme="minorEastAsia" w:hAnsiTheme="minorEastAsia" w:eastAsiaTheme="minorEastAsia" w:cstheme="minorEastAsia"/>
          <w:b w:val="0"/>
          <w:bCs/>
          <w:sz w:val="21"/>
          <w:szCs w:val="21"/>
        </w:rPr>
        <w:t>5.4 竣工文件</w:t>
      </w:r>
      <w:bookmarkEnd w:id="688"/>
      <w:bookmarkEnd w:id="689"/>
      <w:bookmarkEnd w:id="690"/>
      <w:bookmarkEnd w:id="691"/>
      <w:bookmarkEnd w:id="692"/>
    </w:p>
    <w:p>
      <w:pPr>
        <w:pStyle w:val="87"/>
        <w:spacing w:afterLines="0"/>
        <w:ind w:left="0" w:firstLine="420" w:firstLineChars="200"/>
        <w:rPr>
          <w:rFonts w:asciiTheme="minorEastAsia" w:hAnsiTheme="minorEastAsia" w:eastAsiaTheme="minorEastAsia" w:cstheme="minorEastAsia"/>
          <w:sz w:val="21"/>
        </w:rPr>
      </w:pPr>
      <w:bookmarkStart w:id="693" w:name="_Ref531953134"/>
      <w:r>
        <w:rPr>
          <w:rFonts w:hint="eastAsia" w:asciiTheme="minorEastAsia" w:hAnsiTheme="minorEastAsia" w:eastAsiaTheme="minorEastAsia" w:cstheme="minorEastAsia"/>
          <w:sz w:val="21"/>
        </w:rPr>
        <w:t>5.4.1 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bookmarkEnd w:id="693"/>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5.4.2 在颁发工程接收证书之前，承包人应按照《发包人要求》的份数和形式向工程师提交相应竣工图纸，并取得工程师对尺寸、参照系统及其他有关细节的认可。工程师应按照第5.2款[承包人文件审查]的约定进行审查。</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5.4.3 除专用合同条件另有约定外，在工程师收到本款下的文件前，不应认为工程已根据第10.1款[竣工验收]和第10.2款[单位/区段工程的验收]的约定完成验收。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694" w:name="_Toc54862226"/>
      <w:bookmarkStart w:id="695" w:name="_Toc21376"/>
      <w:bookmarkStart w:id="696" w:name="_Ref531953117"/>
      <w:bookmarkStart w:id="697" w:name="_Toc113958491"/>
      <w:bookmarkStart w:id="698" w:name="_Ref531953119"/>
      <w:r>
        <w:rPr>
          <w:rFonts w:hint="eastAsia" w:asciiTheme="minorEastAsia" w:hAnsiTheme="minorEastAsia" w:eastAsiaTheme="minorEastAsia" w:cstheme="minorEastAsia"/>
          <w:b w:val="0"/>
          <w:bCs/>
          <w:sz w:val="21"/>
          <w:szCs w:val="21"/>
        </w:rPr>
        <w:t>5.5 操作和维修手册</w:t>
      </w:r>
      <w:bookmarkEnd w:id="694"/>
      <w:bookmarkEnd w:id="695"/>
      <w:bookmarkEnd w:id="696"/>
      <w:bookmarkEnd w:id="697"/>
      <w:bookmarkEnd w:id="698"/>
    </w:p>
    <w:p>
      <w:pPr>
        <w:pStyle w:val="87"/>
        <w:spacing w:afterLines="0"/>
        <w:ind w:left="0" w:firstLine="420" w:firstLineChars="200"/>
        <w:rPr>
          <w:rFonts w:asciiTheme="minorEastAsia" w:hAnsiTheme="minorEastAsia" w:eastAsiaTheme="minorEastAsia" w:cstheme="minorEastAsia"/>
          <w:sz w:val="21"/>
        </w:rPr>
      </w:pPr>
      <w:bookmarkStart w:id="699" w:name="_Ref531953145"/>
      <w:r>
        <w:rPr>
          <w:rFonts w:hint="eastAsia" w:asciiTheme="minorEastAsia" w:hAnsiTheme="minorEastAsia" w:eastAsiaTheme="minorEastAsia" w:cstheme="minorEastAsia"/>
          <w:sz w:val="21"/>
        </w:rPr>
        <w:t>5.5.1 在竣工试验开始前，承包人应向工程师提交暂行的操作和维修手册并负责及时更新，该手册应足够详细，以便发包人能够对工程设备进行操作、维修、拆卸、重新安装、调整及修理，以及实现《发包人要求》。同时，手册还应包含发包人未来可能需要的备品备件清单。</w:t>
      </w:r>
      <w:bookmarkEnd w:id="699"/>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5.5.2 工程师收到承包人提交的文件后，应依据第5.2款[承包人文件审查]的约定对操作和维修手册进行审查，竣工试验工程中，承包人应为任何因操作和维修手册错误或遗漏引起的风险或损失承担责任。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5.5.3 除专用合同条件另有约定外，承包人应提交足够详细的最终操作和维修手册，以及在《发包人要求》中明确的相关操作和维修手册。除专用合同条件另有约定外，在工程师收到上述文件前，不应认为工程已根据第10.1款[竣工验收]和第10.2款[单位/区段工程的验收]的约定完成验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00" w:name="_Toc54862227"/>
      <w:bookmarkStart w:id="701" w:name="_Toc23037"/>
      <w:bookmarkStart w:id="702" w:name="_Toc113958492"/>
      <w:r>
        <w:rPr>
          <w:rFonts w:hint="eastAsia" w:asciiTheme="minorEastAsia" w:hAnsiTheme="minorEastAsia" w:eastAsiaTheme="minorEastAsia" w:cstheme="minorEastAsia"/>
          <w:b w:val="0"/>
          <w:bCs/>
          <w:sz w:val="21"/>
          <w:szCs w:val="21"/>
        </w:rPr>
        <w:t>5.6 承包人文件错误</w:t>
      </w:r>
      <w:bookmarkEnd w:id="700"/>
      <w:bookmarkEnd w:id="701"/>
      <w:bookmarkEnd w:id="702"/>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文件存在错误、遗漏、含混、矛盾、不充分之处或其他缺陷，无论承包人是否根据本款获得了同意，承包人均应自费对前述问题带来的缺陷和工程问题进行改正，并按照第5.2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703" w:name="_Ref531953761"/>
      <w:bookmarkStart w:id="704" w:name="_Ref531953765"/>
      <w:bookmarkStart w:id="705" w:name="_Toc54862228"/>
      <w:bookmarkStart w:id="706" w:name="_Toc16233"/>
      <w:bookmarkStart w:id="707" w:name="_Toc113958493"/>
      <w:r>
        <w:rPr>
          <w:rFonts w:hint="eastAsia" w:asciiTheme="minorEastAsia" w:hAnsiTheme="minorEastAsia" w:eastAsiaTheme="minorEastAsia" w:cstheme="minorEastAsia"/>
          <w:bCs/>
          <w:sz w:val="21"/>
          <w:szCs w:val="21"/>
        </w:rPr>
        <w:t>第6条 材料、工程设备</w:t>
      </w:r>
      <w:bookmarkEnd w:id="703"/>
      <w:bookmarkEnd w:id="704"/>
      <w:bookmarkEnd w:id="705"/>
      <w:bookmarkEnd w:id="706"/>
      <w:bookmarkEnd w:id="707"/>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08" w:name="_Toc113958494"/>
      <w:bookmarkStart w:id="709" w:name="_Ref531953832"/>
      <w:bookmarkStart w:id="710" w:name="_Ref531953828"/>
      <w:bookmarkStart w:id="711" w:name="_Toc8046"/>
      <w:bookmarkStart w:id="712" w:name="_Toc54862229"/>
      <w:r>
        <w:rPr>
          <w:rFonts w:hint="eastAsia" w:asciiTheme="minorEastAsia" w:hAnsiTheme="minorEastAsia" w:eastAsiaTheme="minorEastAsia" w:cstheme="minorEastAsia"/>
          <w:b w:val="0"/>
          <w:bCs/>
          <w:sz w:val="21"/>
          <w:szCs w:val="21"/>
        </w:rPr>
        <w:t>6.1 实施方法</w:t>
      </w:r>
      <w:bookmarkEnd w:id="708"/>
      <w:bookmarkEnd w:id="709"/>
      <w:bookmarkEnd w:id="710"/>
      <w:bookmarkEnd w:id="711"/>
      <w:bookmarkEnd w:id="712"/>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承包人应按以下方法进行材料的加工、工程设备的采购、制造和安装、以及工程的所有其他实施作业：</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713" w:name="_Ref531953847"/>
      <w:r>
        <w:rPr>
          <w:rFonts w:hint="eastAsia" w:asciiTheme="minorEastAsia" w:hAnsiTheme="minorEastAsia" w:eastAsiaTheme="minorEastAsia" w:cstheme="minorEastAsia"/>
          <w:sz w:val="21"/>
          <w:szCs w:val="21"/>
        </w:rPr>
        <w:t>（1） 按照法律规定和合同约定的方法；</w:t>
      </w:r>
      <w:bookmarkEnd w:id="71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按照公认的良好行业习惯，使用恰当、审慎、先进的方法；</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除专用合同条件另有规定外，应使用适当配备的实施方法、设备、设施和无危险的材料。</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14" w:name="_Ref11926422"/>
      <w:bookmarkStart w:id="715" w:name="_Toc113958495"/>
      <w:bookmarkStart w:id="716" w:name="_Toc54862230"/>
      <w:bookmarkStart w:id="717" w:name="_Toc7602"/>
      <w:bookmarkStart w:id="718" w:name="_Ref4427594"/>
      <w:r>
        <w:rPr>
          <w:rFonts w:hint="eastAsia" w:asciiTheme="minorEastAsia" w:hAnsiTheme="minorEastAsia" w:eastAsiaTheme="minorEastAsia" w:cstheme="minorEastAsia"/>
          <w:b w:val="0"/>
          <w:bCs/>
          <w:sz w:val="21"/>
          <w:szCs w:val="21"/>
        </w:rPr>
        <w:t>6.2 材料和工程设备</w:t>
      </w:r>
      <w:bookmarkEnd w:id="714"/>
      <w:bookmarkEnd w:id="715"/>
      <w:bookmarkEnd w:id="716"/>
      <w:bookmarkEnd w:id="717"/>
    </w:p>
    <w:p>
      <w:pPr>
        <w:pStyle w:val="87"/>
        <w:spacing w:afterLines="0"/>
        <w:ind w:left="0" w:firstLine="420" w:firstLineChars="200"/>
        <w:rPr>
          <w:rFonts w:asciiTheme="minorEastAsia" w:hAnsiTheme="minorEastAsia" w:eastAsiaTheme="minorEastAsia" w:cstheme="minorEastAsia"/>
          <w:sz w:val="21"/>
        </w:rPr>
      </w:pPr>
      <w:bookmarkStart w:id="719" w:name="_Ref11960295"/>
      <w:r>
        <w:rPr>
          <w:rFonts w:hint="eastAsia" w:asciiTheme="minorEastAsia" w:hAnsiTheme="minorEastAsia" w:eastAsiaTheme="minorEastAsia" w:cstheme="minorEastAsia"/>
          <w:sz w:val="21"/>
        </w:rPr>
        <w:t>6.2.1 发包人提供的材料和工程设备</w:t>
      </w:r>
      <w:bookmarkEnd w:id="718"/>
      <w:bookmarkEnd w:id="71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发包人自行供应材料、工程设备的，应在订立合同时在专用合同条件的附件《发包人供应材料设备一览表》中明确材料、工程设备的品种、规格、型号、主要参数、数量、单价、质量等级和交接地点等。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根据项目进度计划的安排，提前28天以书面形式通知工程师供应材料与工程设备的进场计划。承包人按照第8.4款[项目进度计划]约定修订项目进度计划时，需同时提交经修订后的发包人供应材料与工程设备的进场计划。发包人应按照上述进场计划，向承包人提交材料和工程设备。</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需要对进场计划进行变更的，承包人不得拒绝，应根据第13条[变更与调整]的规定执行，并由发包人承担承包人由此增加的费用，以及引起的工期延误。承包人需要对进场计划进行变更的，应事先报请工程师批准，由此增加的费用和（或）工期延误由承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87"/>
        <w:spacing w:afterLines="0"/>
        <w:ind w:left="0" w:firstLine="420" w:firstLineChars="200"/>
        <w:rPr>
          <w:rFonts w:asciiTheme="minorEastAsia" w:hAnsiTheme="minorEastAsia" w:eastAsiaTheme="minorEastAsia" w:cstheme="minorEastAsia"/>
          <w:sz w:val="21"/>
        </w:rPr>
      </w:pPr>
      <w:bookmarkStart w:id="720" w:name="_Ref531953918"/>
      <w:r>
        <w:rPr>
          <w:rFonts w:hint="eastAsia" w:asciiTheme="minorEastAsia" w:hAnsiTheme="minorEastAsia" w:eastAsiaTheme="minorEastAsia" w:cstheme="minorEastAsia"/>
          <w:sz w:val="21"/>
        </w:rPr>
        <w:t>6.2.2 承包人提供的材料和工程设备</w:t>
      </w:r>
      <w:bookmarkEnd w:id="72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已被批准的第8.4款[项目进度计划]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87"/>
        <w:spacing w:afterLines="0"/>
        <w:ind w:left="0" w:firstLine="420" w:firstLineChars="200"/>
        <w:rPr>
          <w:rFonts w:asciiTheme="minorEastAsia" w:hAnsiTheme="minorEastAsia" w:eastAsiaTheme="minorEastAsia" w:cstheme="minorEastAsia"/>
          <w:sz w:val="21"/>
        </w:rPr>
      </w:pPr>
      <w:bookmarkStart w:id="721" w:name="_Ref531953999"/>
      <w:bookmarkStart w:id="722" w:name="_Ref531953991"/>
      <w:r>
        <w:rPr>
          <w:rFonts w:hint="eastAsia" w:asciiTheme="minorEastAsia" w:hAnsiTheme="minorEastAsia" w:eastAsiaTheme="minorEastAsia" w:cstheme="minorEastAsia"/>
          <w:sz w:val="21"/>
        </w:rPr>
        <w:t>6.2.3 材料和工程设备的保管</w:t>
      </w:r>
      <w:bookmarkEnd w:id="721"/>
      <w:bookmarkEnd w:id="722"/>
      <w:r>
        <w:rPr>
          <w:rFonts w:hint="eastAsia" w:asciiTheme="minorEastAsia" w:hAnsiTheme="minorEastAsia" w:eastAsiaTheme="minorEastAsia" w:cstheme="minorEastAsia"/>
          <w:sz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发包人供应材料与工程设备的保管与使用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发包人供应的材料和工程设备，承包人清点并接收后由承包人妥善保管，保管费用由承包人承担，但专用合同条件另有约定除外。因承包人原因发生丢失毁损的，由承包人负责赔偿。</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发包人供应的材料和工程设备使用前，由承包人负责必要的检验，检验费用由发包人承担，不合格的不得使用。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承包人采购材料与工程设备的保管与使用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工程师发现承包人使用不符合设计或有关标准要求的材料和工程设备时，有权要求承包人进行修复、拆除或重新采购，由此增加的费用和（或）延误的工期，由承包人承担。</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6.2.4 材料和工程设备的所有权</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本合同另有约定外，承包人根据第6.2.2项[承包人提供的材料和工程设备]约定提供的材料和工程设备后，材料及工程设备的价款应列入第14.3.1项第（2）目的进度款金额中，发包人支付当期进度款之后，其所有权转为发包人所有（周转性材料除外）；在发包人接收工程前，承包人有义务对材料和工程设备进行保管、维护和保养，未经发包人批准不得运出现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承包人按第6.2.2项提供的材料和工程设备，承包人应确保发包人取得无权利负担的材料及工程设备所有权，因承包人与第三人的物权争议导致的增加的费用和（或）延误的工期，由承包人承担。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23" w:name="_Toc54862231"/>
      <w:bookmarkStart w:id="724" w:name="_Toc6750"/>
      <w:bookmarkStart w:id="725" w:name="_Toc113958496"/>
      <w:bookmarkStart w:id="726" w:name="_Ref4428239"/>
      <w:bookmarkStart w:id="727" w:name="_Toc351203565"/>
      <w:bookmarkStart w:id="728" w:name="_Toc337558785"/>
      <w:r>
        <w:rPr>
          <w:rFonts w:hint="eastAsia" w:asciiTheme="minorEastAsia" w:hAnsiTheme="minorEastAsia" w:eastAsiaTheme="minorEastAsia" w:cstheme="minorEastAsia"/>
          <w:b w:val="0"/>
          <w:bCs/>
          <w:sz w:val="21"/>
          <w:szCs w:val="21"/>
        </w:rPr>
        <w:t>6.3 样品</w:t>
      </w:r>
      <w:bookmarkEnd w:id="723"/>
      <w:bookmarkEnd w:id="724"/>
      <w:bookmarkEnd w:id="725"/>
      <w:bookmarkEnd w:id="726"/>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6.3.1 样品的报送与封存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需要承包人报送样品的材料或工程设备，样品的种类、名称、规格、数量等要求均应在专用合同条件中约定。样品的报送程序如下：</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应在计划采购前28天向工程师报送样品。承包人报送的样品均应来自供应材料的实际生产地，且提供的样品的规格、数量足以表明材料或工程设备的质量、型号、颜色、表面处理、质地、误差和其他要求的特征。</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每次报送样品时应随附申报单，申报单应载明报送样品的相关数据和资料，并标明每件样品对应的图纸号，预留工程师审批意见栏。工程师应在收到承包人报送的样品后7天向承包人回复经发包人签认的样品审批意见。</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经工程师审批确认的样品应按约定的方法封样，封存的样品作为检验工程相关部分的标准之一。承包人在施工过程中不得使用与样品不符的材料或工程设备。</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6.3.2 样品的保管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经批准的样品应由工程师负责封存于现场，承包人应在现场为保存样品提供适当和固定的场所并保持适当和良好的存储环境条件。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29" w:name="_Ref11959204"/>
      <w:bookmarkStart w:id="730" w:name="_Toc54862232"/>
      <w:bookmarkStart w:id="731" w:name="_Toc1692"/>
      <w:bookmarkStart w:id="732" w:name="_Toc113958497"/>
      <w:bookmarkStart w:id="733" w:name="_Ref11959210"/>
      <w:r>
        <w:rPr>
          <w:rFonts w:hint="eastAsia" w:asciiTheme="minorEastAsia" w:hAnsiTheme="minorEastAsia" w:eastAsiaTheme="minorEastAsia" w:cstheme="minorEastAsia"/>
          <w:b w:val="0"/>
          <w:bCs/>
          <w:sz w:val="21"/>
          <w:szCs w:val="21"/>
        </w:rPr>
        <w:t>6.4 质量检查</w:t>
      </w:r>
      <w:bookmarkEnd w:id="729"/>
      <w:bookmarkEnd w:id="730"/>
      <w:bookmarkEnd w:id="731"/>
      <w:bookmarkEnd w:id="732"/>
      <w:bookmarkEnd w:id="733"/>
    </w:p>
    <w:p>
      <w:pPr>
        <w:pStyle w:val="87"/>
        <w:spacing w:afterLines="0"/>
        <w:ind w:left="0" w:firstLine="420" w:firstLineChars="200"/>
        <w:rPr>
          <w:rFonts w:asciiTheme="minorEastAsia" w:hAnsiTheme="minorEastAsia" w:eastAsiaTheme="minorEastAsia" w:cstheme="minorEastAsia"/>
          <w:sz w:val="21"/>
        </w:rPr>
      </w:pPr>
      <w:bookmarkStart w:id="734" w:name="_Ref18990699"/>
      <w:r>
        <w:rPr>
          <w:rFonts w:hint="eastAsia" w:asciiTheme="minorEastAsia" w:hAnsiTheme="minorEastAsia" w:eastAsiaTheme="minorEastAsia" w:cstheme="minorEastAsia"/>
          <w:sz w:val="21"/>
        </w:rPr>
        <w:t>6.4.1 工程质量要求</w:t>
      </w:r>
      <w:bookmarkEnd w:id="73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工程质量标准必须符合现行国家有关工程施工质量验收规范和标准的要求。有关工程质量的特殊标准或要求由合同当事人在专用合同条件中约定。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87"/>
        <w:spacing w:afterLines="0"/>
        <w:ind w:left="0" w:firstLine="420" w:firstLineChars="200"/>
        <w:rPr>
          <w:rFonts w:asciiTheme="minorEastAsia" w:hAnsiTheme="minorEastAsia" w:eastAsiaTheme="minorEastAsia" w:cstheme="minorEastAsia"/>
          <w:sz w:val="21"/>
        </w:rPr>
      </w:pPr>
      <w:bookmarkStart w:id="735" w:name="_Ref18990717"/>
      <w:r>
        <w:rPr>
          <w:rFonts w:hint="eastAsia" w:asciiTheme="minorEastAsia" w:hAnsiTheme="minorEastAsia" w:eastAsiaTheme="minorEastAsia" w:cstheme="minorEastAsia"/>
          <w:sz w:val="21"/>
        </w:rPr>
        <w:t>6.4.2 质量检查</w:t>
      </w:r>
      <w:bookmarkEnd w:id="73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87"/>
        <w:spacing w:afterLines="0"/>
        <w:ind w:left="0" w:firstLine="420" w:firstLineChars="200"/>
        <w:rPr>
          <w:rFonts w:asciiTheme="minorEastAsia" w:hAnsiTheme="minorEastAsia" w:eastAsiaTheme="minorEastAsia" w:cstheme="minorEastAsia"/>
          <w:sz w:val="21"/>
        </w:rPr>
      </w:pPr>
      <w:bookmarkStart w:id="736" w:name="_Ref11959222"/>
      <w:r>
        <w:rPr>
          <w:rFonts w:hint="eastAsia" w:asciiTheme="minorEastAsia" w:hAnsiTheme="minorEastAsia" w:eastAsiaTheme="minorEastAsia" w:cstheme="minorEastAsia"/>
          <w:sz w:val="21"/>
        </w:rPr>
        <w:t>6.4.3 隐蔽工程检查</w:t>
      </w:r>
      <w:bookmarkEnd w:id="73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工程师不能按时进行检查的，应提前向承包人提交书面延期要求，顺延时间不得超过48小时，由此导致工期延误的，工期应予以顺延，顺延超过48小时的，由此导致的工期延误及费用增加由发包人承担。工程师未按时进行检查，也未提出延期要求的，视为隐蔽工程检查合格，承包人可自行完成覆盖工作，并作相应记录报送工程师，工程师应签字确认。工程师事后对检查记录有疑问的，可按下列约定重新检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承包人未通知工程师到场检查，私自将工程隐蔽部位覆盖的，工程师有权指示承包人钻孔探测或揭开检查，无论工程隐蔽部位质量是否合格，由此增加的费用和（或）延误的工期均由承包人承担。</w:t>
      </w:r>
    </w:p>
    <w:bookmarkEnd w:id="727"/>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37" w:name="_Ref11927398"/>
      <w:bookmarkStart w:id="738" w:name="_Ref11927389"/>
      <w:bookmarkStart w:id="739" w:name="_Ref11927403"/>
      <w:bookmarkStart w:id="740" w:name="_Ref11959158"/>
      <w:bookmarkStart w:id="741" w:name="_Toc54862233"/>
      <w:bookmarkStart w:id="742" w:name="_Ref11959175"/>
      <w:bookmarkStart w:id="743" w:name="_Toc273"/>
      <w:bookmarkStart w:id="744" w:name="_Toc113958498"/>
      <w:r>
        <w:rPr>
          <w:rFonts w:hint="eastAsia" w:asciiTheme="minorEastAsia" w:hAnsiTheme="minorEastAsia" w:eastAsiaTheme="minorEastAsia" w:cstheme="minorEastAsia"/>
          <w:b w:val="0"/>
          <w:bCs/>
          <w:sz w:val="21"/>
          <w:szCs w:val="21"/>
        </w:rPr>
        <w:t>6.5 由承包人试验</w:t>
      </w:r>
      <w:bookmarkEnd w:id="737"/>
      <w:bookmarkEnd w:id="738"/>
      <w:bookmarkEnd w:id="739"/>
      <w:r>
        <w:rPr>
          <w:rFonts w:hint="eastAsia" w:asciiTheme="minorEastAsia" w:hAnsiTheme="minorEastAsia" w:eastAsiaTheme="minorEastAsia" w:cstheme="minorEastAsia"/>
          <w:b w:val="0"/>
          <w:bCs/>
          <w:sz w:val="21"/>
          <w:szCs w:val="21"/>
        </w:rPr>
        <w:t>和检验</w:t>
      </w:r>
      <w:bookmarkEnd w:id="740"/>
      <w:bookmarkEnd w:id="741"/>
      <w:bookmarkEnd w:id="742"/>
      <w:bookmarkEnd w:id="743"/>
      <w:bookmarkEnd w:id="744"/>
    </w:p>
    <w:bookmarkEnd w:id="728"/>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6.5.1 试验设备与试验人员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承包人应按专用合同条件约定的试验内容、时间和地点提供试验设备、取样装置、试验场所和试验条件，并向工程师提交相应进场计划表。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承包人配置的试验设备要符合相应试验规程的要求并经过具有资质的检测单位检测，且在正式使用该试验设备前，需要经过工程师与承包人共同校定。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承包人应向工程师提交试验人员的名单及其岗位、资格等证明资料，试验人员必须能够熟练进行相应的检测试验，承包人对试验人员的试验程序和试验结果的正确性负责。</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6.5.2 取样</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试验属于自检性质的，承包人可以单独取样。试验属于工程师抽检性质的，可由工程师取样，也可由承包人的试验人员在工程师的监督下取样。</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6.5.3 材料、工程设备和工程的试验和检验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7"/>
        <w:spacing w:afterLines="0"/>
        <w:ind w:left="0" w:firstLine="420" w:firstLineChars="200"/>
        <w:rPr>
          <w:rFonts w:asciiTheme="minorEastAsia" w:hAnsiTheme="minorEastAsia" w:eastAsiaTheme="minorEastAsia" w:cstheme="minorEastAsia"/>
          <w:sz w:val="21"/>
        </w:rPr>
      </w:pPr>
      <w:bookmarkStart w:id="745" w:name="_Toc351203566"/>
      <w:bookmarkStart w:id="746" w:name="_Toc337558786"/>
      <w:r>
        <w:rPr>
          <w:rFonts w:hint="eastAsia" w:asciiTheme="minorEastAsia" w:hAnsiTheme="minorEastAsia" w:eastAsiaTheme="minorEastAsia" w:cstheme="minorEastAsia"/>
          <w:sz w:val="21"/>
        </w:rPr>
        <w:t>6.5.4 现场工艺试验</w:t>
      </w:r>
      <w:bookmarkEnd w:id="745"/>
    </w:p>
    <w:bookmarkEnd w:id="746"/>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承包人应按合同约定进行现场工艺试验。对大型的现场工艺试验，发包人认为必要时，承包人应根据发包人提出的工艺试验要求，编制工艺试验措施计划，报送发包人审查。</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47" w:name="_Toc113958499"/>
      <w:bookmarkStart w:id="748" w:name="_Toc25176"/>
      <w:bookmarkStart w:id="749" w:name="_Toc54862234"/>
      <w:bookmarkStart w:id="750" w:name="_Ref532592787"/>
      <w:bookmarkStart w:id="751" w:name="_Ref532592784"/>
      <w:r>
        <w:rPr>
          <w:rFonts w:hint="eastAsia" w:asciiTheme="minorEastAsia" w:hAnsiTheme="minorEastAsia" w:eastAsiaTheme="minorEastAsia" w:cstheme="minorEastAsia"/>
          <w:b w:val="0"/>
          <w:bCs/>
          <w:sz w:val="21"/>
          <w:szCs w:val="21"/>
        </w:rPr>
        <w:t>6.6 缺陷和修补</w:t>
      </w:r>
      <w:bookmarkEnd w:id="747"/>
      <w:bookmarkEnd w:id="748"/>
      <w:bookmarkEnd w:id="749"/>
      <w:bookmarkEnd w:id="750"/>
      <w:bookmarkEnd w:id="751"/>
    </w:p>
    <w:p>
      <w:pPr>
        <w:pStyle w:val="87"/>
        <w:spacing w:afterLines="0"/>
        <w:ind w:left="0" w:firstLine="420" w:firstLineChars="200"/>
        <w:rPr>
          <w:rFonts w:asciiTheme="minorEastAsia" w:hAnsiTheme="minorEastAsia" w:eastAsiaTheme="minorEastAsia" w:cstheme="minorEastAsia"/>
          <w:sz w:val="21"/>
        </w:rPr>
      </w:pPr>
      <w:bookmarkStart w:id="752" w:name="_Ref16875551"/>
      <w:r>
        <w:rPr>
          <w:rFonts w:hint="eastAsia" w:asciiTheme="minorEastAsia" w:hAnsiTheme="minorEastAsia" w:eastAsiaTheme="minorEastAsia" w:cstheme="minorEastAsia"/>
          <w:sz w:val="21"/>
        </w:rPr>
        <w:t>6.6.1 发包人可在颁发接收证书前随时指示承包人：</w:t>
      </w:r>
      <w:bookmarkEnd w:id="75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对不符合合同要求的任何工程设备或材料进行修补，或者将其移出现场并进行更换；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 对不符合合同的其他工作进行修补，或者将其去除并重新实施； </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753" w:name="_Ref4708991"/>
      <w:r>
        <w:rPr>
          <w:rFonts w:hint="eastAsia" w:asciiTheme="minorEastAsia" w:hAnsiTheme="minorEastAsia" w:eastAsiaTheme="minorEastAsia" w:cstheme="minorEastAsia"/>
          <w:sz w:val="21"/>
          <w:szCs w:val="21"/>
        </w:rPr>
        <w:t>（3） 实施因意外、不可预见的事件或其他原因引起的、为工程的安全迫切需要的任何修补工作。</w:t>
      </w:r>
      <w:bookmarkEnd w:id="753"/>
    </w:p>
    <w:p>
      <w:pPr>
        <w:pStyle w:val="87"/>
        <w:spacing w:afterLines="0"/>
        <w:ind w:left="0" w:firstLine="420" w:firstLineChars="200"/>
        <w:rPr>
          <w:rFonts w:asciiTheme="minorEastAsia" w:hAnsiTheme="minorEastAsia" w:eastAsiaTheme="minorEastAsia" w:cstheme="minorEastAsia"/>
          <w:sz w:val="21"/>
        </w:rPr>
      </w:pPr>
      <w:bookmarkStart w:id="754" w:name="_Ref11956964"/>
      <w:r>
        <w:rPr>
          <w:rFonts w:hint="eastAsia" w:asciiTheme="minorEastAsia" w:hAnsiTheme="minorEastAsia" w:eastAsiaTheme="minorEastAsia" w:cstheme="minorEastAsia"/>
          <w:sz w:val="21"/>
        </w:rPr>
        <w:t>6.6.2 承包人应遵守第6.6.1项下指示，并在合理可行的情况下，根据上述指示中规定的时间完成修补工作。除因下列原因引起的第6.6.1项第（3）目下的情形外，承包人应承担所有修补工作的费用：</w:t>
      </w:r>
      <w:bookmarkEnd w:id="75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因发包人或其人员的任何行为导致的情形，且在此情况下发包人应承担因此引起的工期延误和承包人费用损失，并向承包人支付合理的利润。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第17.4款[不可抗力后果的承担]中适用的不可抗力事件的情形。</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6.6.3 如果承包人未能遵守发包人的指示，发包人可以自行决定请第三方完成上述修补工作，并有权要求承包人支付因未履行指示而产生的所有费用，但承包人根据第6.6.2项有权就修补工作获得支付的情况除外。</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755" w:name="_Toc54862235"/>
      <w:bookmarkStart w:id="756" w:name="_Toc25088"/>
      <w:bookmarkStart w:id="757" w:name="_Toc113958500"/>
      <w:bookmarkStart w:id="758" w:name="_Ref531954214"/>
      <w:r>
        <w:rPr>
          <w:rFonts w:hint="eastAsia" w:asciiTheme="minorEastAsia" w:hAnsiTheme="minorEastAsia" w:eastAsiaTheme="minorEastAsia" w:cstheme="minorEastAsia"/>
          <w:bCs/>
          <w:sz w:val="21"/>
          <w:szCs w:val="21"/>
        </w:rPr>
        <w:t>第7条 施工</w:t>
      </w:r>
      <w:bookmarkEnd w:id="755"/>
      <w:bookmarkEnd w:id="756"/>
      <w:bookmarkEnd w:id="757"/>
      <w:bookmarkEnd w:id="758"/>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59" w:name="_Toc30786"/>
      <w:bookmarkStart w:id="760" w:name="_Ref531954272"/>
      <w:bookmarkStart w:id="761" w:name="_Toc54862236"/>
      <w:bookmarkStart w:id="762" w:name="_Ref531954276"/>
      <w:bookmarkStart w:id="763" w:name="_Toc113958501"/>
      <w:bookmarkStart w:id="764" w:name="_Ref531954260"/>
      <w:bookmarkStart w:id="765" w:name="_Ref531954246"/>
      <w:r>
        <w:rPr>
          <w:rFonts w:hint="eastAsia" w:asciiTheme="minorEastAsia" w:hAnsiTheme="minorEastAsia" w:eastAsiaTheme="minorEastAsia" w:cstheme="minorEastAsia"/>
          <w:b w:val="0"/>
          <w:bCs/>
          <w:sz w:val="21"/>
          <w:szCs w:val="21"/>
        </w:rPr>
        <w:t>7.1 交通运输</w:t>
      </w:r>
      <w:bookmarkEnd w:id="759"/>
      <w:bookmarkEnd w:id="760"/>
      <w:bookmarkEnd w:id="761"/>
      <w:bookmarkEnd w:id="762"/>
      <w:bookmarkEnd w:id="763"/>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766" w:name="_Ref4422645"/>
      <w:r>
        <w:rPr>
          <w:rFonts w:hint="eastAsia" w:asciiTheme="minorEastAsia" w:hAnsiTheme="minorEastAsia" w:eastAsiaTheme="minorEastAsia" w:cstheme="minorEastAsia"/>
          <w:sz w:val="21"/>
        </w:rPr>
        <w:t>7.1.1 出入现场的权利</w:t>
      </w:r>
      <w:bookmarkEnd w:id="76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87"/>
        <w:spacing w:afterLines="0"/>
        <w:ind w:left="0" w:firstLine="420" w:firstLineChars="200"/>
        <w:rPr>
          <w:rFonts w:asciiTheme="minorEastAsia" w:hAnsiTheme="minorEastAsia" w:eastAsiaTheme="minorEastAsia" w:cstheme="minorEastAsia"/>
          <w:sz w:val="21"/>
        </w:rPr>
      </w:pPr>
      <w:bookmarkStart w:id="767" w:name="_Ref18957045"/>
      <w:r>
        <w:rPr>
          <w:rFonts w:hint="eastAsia" w:asciiTheme="minorEastAsia" w:hAnsiTheme="minorEastAsia" w:eastAsiaTheme="minorEastAsia" w:cstheme="minorEastAsia"/>
          <w:sz w:val="21"/>
        </w:rPr>
        <w:t>7.1.2 场外交通</w:t>
      </w:r>
      <w:bookmarkEnd w:id="76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87"/>
        <w:spacing w:afterLines="0"/>
        <w:ind w:left="0" w:firstLine="420" w:firstLineChars="200"/>
        <w:rPr>
          <w:rFonts w:asciiTheme="minorEastAsia" w:hAnsiTheme="minorEastAsia" w:eastAsiaTheme="minorEastAsia" w:cstheme="minorEastAsia"/>
          <w:sz w:val="21"/>
        </w:rPr>
      </w:pPr>
      <w:bookmarkStart w:id="768" w:name="_Ref4622358"/>
      <w:r>
        <w:rPr>
          <w:rFonts w:hint="eastAsia" w:asciiTheme="minorEastAsia" w:hAnsiTheme="minorEastAsia" w:eastAsiaTheme="minorEastAsia" w:cstheme="minorEastAsia"/>
          <w:sz w:val="21"/>
        </w:rPr>
        <w:t>7.1.3 场内交通</w:t>
      </w:r>
      <w:bookmarkEnd w:id="76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87"/>
        <w:spacing w:afterLines="0"/>
        <w:ind w:left="0" w:firstLine="420" w:firstLineChars="200"/>
        <w:rPr>
          <w:rFonts w:asciiTheme="minorEastAsia" w:hAnsiTheme="minorEastAsia" w:eastAsiaTheme="minorEastAsia" w:cstheme="minorEastAsia"/>
          <w:sz w:val="21"/>
        </w:rPr>
      </w:pPr>
      <w:bookmarkStart w:id="769" w:name="_Ref4622376"/>
      <w:r>
        <w:rPr>
          <w:rFonts w:hint="eastAsia" w:asciiTheme="minorEastAsia" w:hAnsiTheme="minorEastAsia" w:eastAsiaTheme="minorEastAsia" w:cstheme="minorEastAsia"/>
          <w:sz w:val="21"/>
        </w:rPr>
        <w:t>7.1.4 超大件和超重件的运输</w:t>
      </w:r>
      <w:bookmarkEnd w:id="76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7.1.5 道路和桥梁的损坏责任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因承包人运输造成施工现场内外公共道路和桥梁损坏的，由承包人承担修复损坏的全部费用和可能引起的赔偿。</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7.1.6 水路和航空运输</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本条上述各款的内容适用于水路运输和航空运输，其中“道路”一词的涵义包括河道、航线、船闸、机场、码头、堤防以及水路或航空运输中其他相似结构物；“车辆”一词的涵义包括船舶和飞机等。</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70" w:name="_Ref11919294"/>
      <w:bookmarkStart w:id="771" w:name="_Toc54862237"/>
      <w:bookmarkStart w:id="772" w:name="_Toc113958502"/>
      <w:bookmarkStart w:id="773" w:name="_Toc14011"/>
      <w:bookmarkStart w:id="774" w:name="_Ref11919459"/>
      <w:r>
        <w:rPr>
          <w:rFonts w:hint="eastAsia" w:asciiTheme="minorEastAsia" w:hAnsiTheme="minorEastAsia" w:eastAsiaTheme="minorEastAsia" w:cstheme="minorEastAsia"/>
          <w:b w:val="0"/>
          <w:bCs/>
          <w:sz w:val="21"/>
          <w:szCs w:val="21"/>
        </w:rPr>
        <w:t>7.2 施工设备和临时设施</w:t>
      </w:r>
      <w:bookmarkEnd w:id="764"/>
      <w:bookmarkEnd w:id="765"/>
      <w:bookmarkEnd w:id="770"/>
      <w:bookmarkEnd w:id="771"/>
      <w:bookmarkEnd w:id="772"/>
      <w:bookmarkEnd w:id="773"/>
      <w:bookmarkEnd w:id="774"/>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775" w:name="_Ref18990767"/>
      <w:bookmarkStart w:id="776" w:name="_Ref509043186"/>
      <w:r>
        <w:rPr>
          <w:rFonts w:hint="eastAsia" w:asciiTheme="minorEastAsia" w:hAnsiTheme="minorEastAsia" w:eastAsiaTheme="minorEastAsia" w:cstheme="minorEastAsia"/>
          <w:sz w:val="21"/>
        </w:rPr>
        <w:t>7.2.1 承包人提供的施工设备和临时设施</w:t>
      </w:r>
      <w:bookmarkEnd w:id="77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应自行承担修建临时设施的费用，需要临时占地的，应由发包人办理申请手续并承担相应费用。承包人应在专用合同条件7.2款约定的时间内向发包人提交临时占地资料，因承包人未能按时提交资料，导致工期延误的，由此增加的费用和（或）竣工日期延误，由承包人负责。</w:t>
      </w:r>
    </w:p>
    <w:bookmarkEnd w:id="776"/>
    <w:p>
      <w:pPr>
        <w:pStyle w:val="87"/>
        <w:spacing w:afterLines="0"/>
        <w:ind w:left="0" w:firstLine="420" w:firstLineChars="200"/>
        <w:rPr>
          <w:rFonts w:asciiTheme="minorEastAsia" w:hAnsiTheme="minorEastAsia" w:eastAsiaTheme="minorEastAsia" w:cstheme="minorEastAsia"/>
          <w:sz w:val="21"/>
        </w:rPr>
      </w:pPr>
      <w:bookmarkStart w:id="777" w:name="_Ref18990784"/>
      <w:r>
        <w:rPr>
          <w:rFonts w:hint="eastAsia" w:asciiTheme="minorEastAsia" w:hAnsiTheme="minorEastAsia" w:eastAsiaTheme="minorEastAsia" w:cstheme="minorEastAsia"/>
          <w:sz w:val="21"/>
        </w:rPr>
        <w:t>7.2.2 发包人提供的施工设备和临时设施</w:t>
      </w:r>
      <w:bookmarkEnd w:id="77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发包人提供的施工设备或临时设施在专用合同条件中约定。</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7.2.3 要求承包人增加或更换施工设备</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承包人使用的施工设备不能满足项目进度计划和（或）质量要求时，工程师有权要求承包人增加或更换施工设备，承包人应及时增加或更换，由此增加的费用和（或）延误的工期由承包人承担。</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7.2.4 施工设备和临时设施专用于合同工程</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78" w:name="_Toc54862238"/>
      <w:bookmarkStart w:id="779" w:name="_Toc29893"/>
      <w:bookmarkStart w:id="780" w:name="_Toc113958503"/>
      <w:bookmarkStart w:id="781" w:name="_Ref11874352"/>
      <w:r>
        <w:rPr>
          <w:rFonts w:hint="eastAsia" w:asciiTheme="minorEastAsia" w:hAnsiTheme="minorEastAsia" w:eastAsiaTheme="minorEastAsia" w:cstheme="minorEastAsia"/>
          <w:b w:val="0"/>
          <w:bCs/>
          <w:sz w:val="21"/>
          <w:szCs w:val="21"/>
        </w:rPr>
        <w:t>7.3 现场合作</w:t>
      </w:r>
      <w:bookmarkEnd w:id="778"/>
      <w:bookmarkEnd w:id="779"/>
      <w:bookmarkEnd w:id="780"/>
      <w:bookmarkEnd w:id="78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承包人应按合同约定或发包人的指示，与发包人人员、发包人的其他承包人等人员就在现场或附近实施与工程有关的各项工作进行合作并提供适当条件，包括使用承包人设备、临时工程或进入现场等。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承包人应对其在现场的施工活动负责，并应尽合理努力按合同约定或发包人的指示，协调自身与发包人人员、发包人的其他承包人等人员的活动。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82" w:name="_Toc5810"/>
      <w:bookmarkStart w:id="783" w:name="_Ref531954287"/>
      <w:bookmarkStart w:id="784" w:name="_Ref531954285"/>
      <w:bookmarkStart w:id="785" w:name="_Toc54862239"/>
      <w:bookmarkStart w:id="786" w:name="_Toc113958504"/>
      <w:r>
        <w:rPr>
          <w:rFonts w:hint="eastAsia" w:asciiTheme="minorEastAsia" w:hAnsiTheme="minorEastAsia" w:eastAsiaTheme="minorEastAsia" w:cstheme="minorEastAsia"/>
          <w:b w:val="0"/>
          <w:bCs/>
          <w:sz w:val="21"/>
          <w:szCs w:val="21"/>
        </w:rPr>
        <w:t>7.4 测量放线</w:t>
      </w:r>
      <w:bookmarkEnd w:id="782"/>
      <w:bookmarkEnd w:id="783"/>
      <w:bookmarkEnd w:id="784"/>
      <w:bookmarkEnd w:id="785"/>
      <w:bookmarkEnd w:id="786"/>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7.4.1 除专用合同条件另有约定外，承包人应根据国家测绘基准、测绘系统和工程测量技术规范，按基准点（线）以及合同工程精度要求，测设施工控制网，并在专用合同条件约定的期限内，将施工控制网资料报送工程师。</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7.4.2 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7.4.3 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87" w:name="_Toc54862240"/>
      <w:bookmarkStart w:id="788" w:name="_Toc894"/>
      <w:bookmarkStart w:id="789" w:name="_Toc113958505"/>
      <w:bookmarkStart w:id="790" w:name="_Ref531954329"/>
      <w:bookmarkStart w:id="791" w:name="_Ref4770992"/>
      <w:bookmarkStart w:id="792" w:name="_Ref531954323"/>
      <w:r>
        <w:rPr>
          <w:rFonts w:hint="eastAsia" w:asciiTheme="minorEastAsia" w:hAnsiTheme="minorEastAsia" w:eastAsiaTheme="minorEastAsia" w:cstheme="minorEastAsia"/>
          <w:b w:val="0"/>
          <w:bCs/>
          <w:sz w:val="21"/>
          <w:szCs w:val="21"/>
        </w:rPr>
        <w:t>7.5 现场劳动用工</w:t>
      </w:r>
      <w:bookmarkEnd w:id="787"/>
      <w:bookmarkEnd w:id="788"/>
      <w:bookmarkEnd w:id="789"/>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7.5.1 承包人及其分包人招用建筑工人的，应当依法与所招用的建筑工人订立劳动合同，实行建筑工人劳动用工实名制管理，承包人应当按照有关规定开设建筑工人工资专用账户、存储工资保证金，专项用于支付和保障该工程建设项目建筑工人工资。</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7.5.2 承包人应当在工程项目部配备劳资专管员，对分包单位劳动用工及工资发放实施监督管理。承包人拖欠建筑工人工资的,应当依法予以清偿。分包人拖欠建筑工人工资的,由承包人先行清偿,再依法进行追偿。因发包人未按照合同约定及时拨付工程款导致建筑工人工资拖欠的，发包人应当以未结清的工程款为限先行垫付被拖欠的建筑工人工资。合同当事人可在专用合同条件中约定具体的清偿事宜和违约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7.5.3 承包人应当按照相关法律法规的要求，进行劳动用工管理和建筑工人工资支付。</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93" w:name="_Toc54862241"/>
      <w:bookmarkStart w:id="794" w:name="_Ref41554059"/>
      <w:bookmarkStart w:id="795" w:name="_Toc113958506"/>
      <w:bookmarkStart w:id="796" w:name="_Toc20819"/>
      <w:r>
        <w:rPr>
          <w:rFonts w:hint="eastAsia" w:asciiTheme="minorEastAsia" w:hAnsiTheme="minorEastAsia" w:eastAsiaTheme="minorEastAsia" w:cstheme="minorEastAsia"/>
          <w:b w:val="0"/>
          <w:bCs/>
          <w:sz w:val="21"/>
          <w:szCs w:val="21"/>
        </w:rPr>
        <w:t>7.6 安全文明施工</w:t>
      </w:r>
      <w:bookmarkEnd w:id="790"/>
      <w:bookmarkEnd w:id="791"/>
      <w:bookmarkEnd w:id="792"/>
      <w:bookmarkEnd w:id="793"/>
      <w:bookmarkEnd w:id="794"/>
      <w:bookmarkEnd w:id="795"/>
      <w:bookmarkEnd w:id="796"/>
    </w:p>
    <w:p>
      <w:pPr>
        <w:pStyle w:val="87"/>
        <w:spacing w:afterLines="0"/>
        <w:ind w:left="0" w:firstLine="420" w:firstLineChars="200"/>
        <w:rPr>
          <w:rFonts w:asciiTheme="minorEastAsia" w:hAnsiTheme="minorEastAsia" w:eastAsiaTheme="minorEastAsia" w:cstheme="minorEastAsia"/>
          <w:sz w:val="21"/>
        </w:rPr>
      </w:pPr>
      <w:bookmarkStart w:id="797" w:name="_Ref18990822"/>
      <w:r>
        <w:rPr>
          <w:rFonts w:hint="eastAsia" w:asciiTheme="minorEastAsia" w:hAnsiTheme="minorEastAsia" w:eastAsiaTheme="minorEastAsia" w:cstheme="minorEastAsia"/>
          <w:sz w:val="21"/>
        </w:rPr>
        <w:t>7.6.1 安全生产要求</w:t>
      </w:r>
      <w:bookmarkEnd w:id="79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因安全生产需要暂停施工的，按照第8.9款[暂停工作]的约定执行。</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7.6.2 安全生产保证措施</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87"/>
        <w:spacing w:afterLines="0"/>
        <w:ind w:left="0" w:firstLine="420" w:firstLineChars="200"/>
        <w:rPr>
          <w:rFonts w:asciiTheme="minorEastAsia" w:hAnsiTheme="minorEastAsia" w:eastAsiaTheme="minorEastAsia" w:cstheme="minorEastAsia"/>
          <w:sz w:val="21"/>
        </w:rPr>
      </w:pPr>
      <w:bookmarkStart w:id="798" w:name="_Ref18990840"/>
      <w:r>
        <w:rPr>
          <w:rFonts w:hint="eastAsia" w:asciiTheme="minorEastAsia" w:hAnsiTheme="minorEastAsia" w:eastAsiaTheme="minorEastAsia" w:cstheme="minorEastAsia"/>
          <w:sz w:val="21"/>
        </w:rPr>
        <w:t>7.6.3 文明施工</w:t>
      </w:r>
      <w:bookmarkEnd w:id="79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7.6.4 事故处理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7.6.5 安全生产责任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发包人应负责赔偿以下各种情况造成的损失：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工程或工程的任何部分对土地的占用所造成的第三者财产损失；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由于发包人原因在施工现场及其毗邻地带、履行合同工作中造成的第三者人身伤亡和财产损失；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由于发包人原因对发包人自身、承包人、工程师造成的人身伤害和财产损失。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承包人应负责赔偿由于承包人原因在施工现场及其毗邻地带、履行合同工作中造成的第三者人身伤亡和财产损失。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如果上述损失是由于发包人和承包人共同原因导致的，则双方应根据过错情况按比例承担。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799" w:name="_Ref41554069"/>
      <w:bookmarkStart w:id="800" w:name="_Ref11874562"/>
      <w:bookmarkStart w:id="801" w:name="_Toc18265"/>
      <w:bookmarkStart w:id="802" w:name="_Toc113958507"/>
      <w:bookmarkStart w:id="803" w:name="_Toc54862242"/>
      <w:r>
        <w:rPr>
          <w:rFonts w:hint="eastAsia" w:asciiTheme="minorEastAsia" w:hAnsiTheme="minorEastAsia" w:eastAsiaTheme="minorEastAsia" w:cstheme="minorEastAsia"/>
          <w:b w:val="0"/>
          <w:bCs/>
          <w:sz w:val="21"/>
          <w:szCs w:val="21"/>
        </w:rPr>
        <w:t>7.7 职业健康</w:t>
      </w:r>
      <w:bookmarkEnd w:id="799"/>
      <w:bookmarkEnd w:id="800"/>
      <w:bookmarkEnd w:id="801"/>
      <w:bookmarkEnd w:id="802"/>
      <w:bookmarkEnd w:id="80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承包人应遵守适用的职业健康的法律和合同约定（包括对雇用、职业健康、安全、福利等方面的规定），负责现场实施过程中其人员的职业健康和保护，包括：</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承包人应依法为承包人</w:t>
      </w:r>
      <w:bookmarkStart w:id="804" w:name="_Hlk46339538"/>
      <w:r>
        <w:rPr>
          <w:rFonts w:hint="eastAsia" w:asciiTheme="minorEastAsia" w:hAnsiTheme="minorEastAsia" w:eastAsiaTheme="minorEastAsia" w:cstheme="minorEastAsia"/>
          <w:sz w:val="21"/>
          <w:szCs w:val="21"/>
        </w:rPr>
        <w:t>员工及承包人聘用的第三方人员</w:t>
      </w:r>
      <w:bookmarkEnd w:id="804"/>
      <w:r>
        <w:rPr>
          <w:rFonts w:hint="eastAsia" w:asciiTheme="minorEastAsia" w:hAnsiTheme="minorEastAsia" w:eastAsiaTheme="minorEastAsia" w:cstheme="minorEastAsia"/>
          <w:sz w:val="21"/>
          <w:szCs w:val="21"/>
        </w:rPr>
        <w:t>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05" w:name="_Toc12841"/>
      <w:bookmarkStart w:id="806" w:name="_Ref11874570"/>
      <w:bookmarkStart w:id="807" w:name="_Toc113958508"/>
      <w:bookmarkStart w:id="808" w:name="_Toc54862243"/>
      <w:r>
        <w:rPr>
          <w:rFonts w:hint="eastAsia" w:asciiTheme="minorEastAsia" w:hAnsiTheme="minorEastAsia" w:eastAsiaTheme="minorEastAsia" w:cstheme="minorEastAsia"/>
          <w:b w:val="0"/>
          <w:bCs/>
          <w:sz w:val="21"/>
          <w:szCs w:val="21"/>
        </w:rPr>
        <w:t>7.8 环境保护</w:t>
      </w:r>
      <w:bookmarkEnd w:id="805"/>
      <w:bookmarkEnd w:id="806"/>
      <w:bookmarkEnd w:id="807"/>
      <w:bookmarkEnd w:id="808"/>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7.8.1 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7.8.2 承包人应采取措施，并负责控制和（或）处理现场的粉尘、废气、废水、固体废物和噪声对环境的污染和危害。因此发生的伤害、赔偿、罚款等费用增加，和（或）竣工日期延误，由承包人负责。</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7.8.3 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09" w:name="_Toc2239"/>
      <w:bookmarkStart w:id="810" w:name="_Toc54862244"/>
      <w:bookmarkStart w:id="811" w:name="_Toc113958509"/>
      <w:bookmarkStart w:id="812" w:name="_Ref531954344"/>
      <w:bookmarkStart w:id="813" w:name="_Ref531954340"/>
      <w:bookmarkStart w:id="814" w:name="_Ref4771116"/>
      <w:r>
        <w:rPr>
          <w:rFonts w:hint="eastAsia" w:asciiTheme="minorEastAsia" w:hAnsiTheme="minorEastAsia" w:eastAsiaTheme="minorEastAsia" w:cstheme="minorEastAsia"/>
          <w:b w:val="0"/>
          <w:bCs/>
          <w:sz w:val="21"/>
          <w:szCs w:val="21"/>
        </w:rPr>
        <w:t>7.9 临时性公用设施</w:t>
      </w:r>
      <w:bookmarkEnd w:id="809"/>
      <w:bookmarkEnd w:id="810"/>
      <w:bookmarkEnd w:id="811"/>
      <w:bookmarkEnd w:id="812"/>
      <w:bookmarkEnd w:id="813"/>
      <w:r>
        <w:rPr>
          <w:rFonts w:hint="eastAsia" w:asciiTheme="minorEastAsia" w:hAnsiTheme="minorEastAsia" w:eastAsiaTheme="minorEastAsia" w:cstheme="minorEastAsia"/>
          <w:b w:val="0"/>
          <w:bCs/>
          <w:sz w:val="21"/>
          <w:szCs w:val="21"/>
        </w:rPr>
        <w:t xml:space="preserve"> </w:t>
      </w:r>
      <w:bookmarkEnd w:id="814"/>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7.9.1 提供临时用水、用电等和节点铺设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7.9.2 临时用水、用电等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在计划开始现场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因承包人未能按合同约定提交上述资料，造成发包人费用增加和竣工日期延误时，由承包人负责。</w:t>
      </w:r>
      <w:bookmarkStart w:id="815" w:name="_Ref508893743"/>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16" w:name="_Toc113958510"/>
      <w:bookmarkStart w:id="817" w:name="_Toc1758"/>
      <w:bookmarkStart w:id="818" w:name="_Ref531952248"/>
      <w:bookmarkStart w:id="819" w:name="_Ref531952239"/>
      <w:bookmarkStart w:id="820" w:name="_Toc54862245"/>
      <w:r>
        <w:rPr>
          <w:rFonts w:hint="eastAsia" w:asciiTheme="minorEastAsia" w:hAnsiTheme="minorEastAsia" w:eastAsiaTheme="minorEastAsia" w:cstheme="minorEastAsia"/>
          <w:b w:val="0"/>
          <w:bCs/>
          <w:sz w:val="21"/>
          <w:szCs w:val="21"/>
        </w:rPr>
        <w:t>7.10 现场安保</w:t>
      </w:r>
      <w:bookmarkEnd w:id="816"/>
      <w:bookmarkEnd w:id="817"/>
      <w:bookmarkEnd w:id="818"/>
      <w:bookmarkEnd w:id="819"/>
      <w:bookmarkEnd w:id="82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承担自发包人向其移交施工现场、进入占有施工现场至发包人接收单位/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承包人应将其作业限制在现场区域、合同约定的区域或为履行合同所需的区域内。承包人应采取一切必要的预防措施，以保持承包人的设备和人员处于现场区域内，避免其进入邻近地区。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承包人为履行合同义务而占用的其他场所（如预制加工场所、办公及生活营区） 的安保适用本款前述关于现场安保的规定。</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21" w:name="_Toc113958511"/>
      <w:bookmarkStart w:id="822" w:name="_Toc54862246"/>
      <w:bookmarkStart w:id="823" w:name="_Toc29198"/>
      <w:r>
        <w:rPr>
          <w:rFonts w:hint="eastAsia" w:asciiTheme="minorEastAsia" w:hAnsiTheme="minorEastAsia" w:eastAsiaTheme="minorEastAsia" w:cstheme="minorEastAsia"/>
          <w:b w:val="0"/>
          <w:bCs/>
          <w:sz w:val="21"/>
          <w:szCs w:val="21"/>
        </w:rPr>
        <w:t>7.11 工程照管</w:t>
      </w:r>
      <w:bookmarkEnd w:id="821"/>
      <w:bookmarkEnd w:id="822"/>
      <w:bookmarkEnd w:id="82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自开始现场施工日期起至发包人应当接收工程之日止，承包人应承担工程现场、材料、设备及承包人文件的照管和维护工作。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如部分工程于竣工验收前提前交付发包人的，则自交付之日起，该部分工程照管及维护职责由发包人承担。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如发包人及承包人进行竣工验收时尚有部分未竣工工程的，承包人应负责该未竣工工程的照管和维护工作，直至竣工后移交给发包人。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如合同解除或终止的，承包人自合同解除或终止之日起不再对工程承担照管和维护义务。</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824" w:name="_Ref508998009"/>
      <w:bookmarkStart w:id="825" w:name="_Toc32327"/>
      <w:bookmarkStart w:id="826" w:name="_Toc54862247"/>
      <w:bookmarkStart w:id="827" w:name="_Toc113958512"/>
      <w:bookmarkStart w:id="828" w:name="_Ref531954505"/>
      <w:bookmarkStart w:id="829" w:name="_Ref531954518"/>
      <w:r>
        <w:rPr>
          <w:rFonts w:hint="eastAsia" w:asciiTheme="minorEastAsia" w:hAnsiTheme="minorEastAsia" w:eastAsiaTheme="minorEastAsia" w:cstheme="minorEastAsia"/>
          <w:bCs/>
          <w:sz w:val="21"/>
          <w:szCs w:val="21"/>
        </w:rPr>
        <w:t>第8条 工期和进度</w:t>
      </w:r>
      <w:bookmarkEnd w:id="824"/>
      <w:bookmarkEnd w:id="825"/>
      <w:bookmarkEnd w:id="826"/>
      <w:bookmarkEnd w:id="827"/>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30" w:name="_Ref532362072"/>
      <w:bookmarkStart w:id="831" w:name="_Toc54862248"/>
      <w:bookmarkStart w:id="832" w:name="_Ref532362075"/>
      <w:bookmarkStart w:id="833" w:name="_Ref532362777"/>
      <w:bookmarkStart w:id="834" w:name="_Ref532362774"/>
      <w:bookmarkStart w:id="835" w:name="_Toc113958513"/>
      <w:bookmarkStart w:id="836" w:name="_Toc13552"/>
      <w:r>
        <w:rPr>
          <w:rFonts w:hint="eastAsia" w:asciiTheme="minorEastAsia" w:hAnsiTheme="minorEastAsia" w:eastAsiaTheme="minorEastAsia" w:cstheme="minorEastAsia"/>
          <w:b w:val="0"/>
          <w:bCs/>
          <w:sz w:val="21"/>
          <w:szCs w:val="21"/>
        </w:rPr>
        <w:t>8.1 开始工作</w:t>
      </w:r>
      <w:bookmarkEnd w:id="830"/>
      <w:bookmarkEnd w:id="831"/>
      <w:bookmarkEnd w:id="832"/>
      <w:bookmarkEnd w:id="833"/>
      <w:bookmarkEnd w:id="834"/>
      <w:bookmarkEnd w:id="835"/>
      <w:bookmarkEnd w:id="836"/>
    </w:p>
    <w:p>
      <w:pPr>
        <w:pStyle w:val="87"/>
        <w:spacing w:afterLines="0"/>
        <w:ind w:left="0" w:firstLine="420" w:firstLineChars="200"/>
        <w:rPr>
          <w:rFonts w:asciiTheme="minorEastAsia" w:hAnsiTheme="minorEastAsia" w:eastAsiaTheme="minorEastAsia" w:cstheme="minorEastAsia"/>
          <w:sz w:val="21"/>
        </w:rPr>
      </w:pPr>
      <w:bookmarkStart w:id="837" w:name="_Ref4428890"/>
      <w:r>
        <w:rPr>
          <w:rFonts w:hint="eastAsia" w:asciiTheme="minorEastAsia" w:hAnsiTheme="minorEastAsia" w:eastAsiaTheme="minorEastAsia" w:cstheme="minorEastAsia"/>
          <w:sz w:val="21"/>
        </w:rPr>
        <w:t>8.1.1 开始工作准备</w:t>
      </w:r>
      <w:bookmarkEnd w:id="83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合同当事人应按专用合同条件约定完成开始工作准备工作。</w:t>
      </w:r>
    </w:p>
    <w:p>
      <w:pPr>
        <w:pStyle w:val="87"/>
        <w:spacing w:afterLines="0"/>
        <w:ind w:left="0" w:firstLine="420" w:firstLineChars="200"/>
        <w:rPr>
          <w:rFonts w:asciiTheme="minorEastAsia" w:hAnsiTheme="minorEastAsia" w:eastAsiaTheme="minorEastAsia" w:cstheme="minorEastAsia"/>
          <w:sz w:val="21"/>
        </w:rPr>
      </w:pPr>
      <w:bookmarkStart w:id="838" w:name="_Ref536790534"/>
      <w:bookmarkStart w:id="839" w:name="_Hlk51506490"/>
      <w:r>
        <w:rPr>
          <w:rFonts w:hint="eastAsia" w:asciiTheme="minorEastAsia" w:hAnsiTheme="minorEastAsia" w:eastAsiaTheme="minorEastAsia" w:cstheme="minorEastAsia"/>
          <w:sz w:val="21"/>
        </w:rPr>
        <w:t>8.1.2 开始工作通知</w:t>
      </w:r>
      <w:bookmarkEnd w:id="838"/>
    </w:p>
    <w:bookmarkEnd w:id="839"/>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经发包人同意后，工程师应提前7天向承包人发出经发包人签认的开始工作通知，工期自开始工作通知中载明的开始工作日期起算。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除专用合同条件另有约定外，因发包人原因造成实际开始现场施工日期迟于</w:t>
      </w:r>
      <w:bookmarkStart w:id="840" w:name="_Hlk51506566"/>
      <w:r>
        <w:rPr>
          <w:rFonts w:hint="eastAsia" w:asciiTheme="minorEastAsia" w:hAnsiTheme="minorEastAsia" w:eastAsiaTheme="minorEastAsia" w:cstheme="minorEastAsia"/>
          <w:sz w:val="21"/>
          <w:szCs w:val="21"/>
        </w:rPr>
        <w:t>计划开始现场施工日期</w:t>
      </w:r>
      <w:bookmarkEnd w:id="840"/>
      <w:r>
        <w:rPr>
          <w:rFonts w:hint="eastAsia" w:asciiTheme="minorEastAsia" w:hAnsiTheme="minorEastAsia" w:eastAsiaTheme="minorEastAsia" w:cstheme="minorEastAsia"/>
          <w:sz w:val="21"/>
          <w:szCs w:val="21"/>
        </w:rPr>
        <w:t>后第84天的，承包人有权提出价格调整要求，或者解除合同。发包人应当承担由此增加的费用和（或）延误的工期，并向承包人支付合理利润。</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41" w:name="_Toc54862249"/>
      <w:bookmarkStart w:id="842" w:name="_Toc28906"/>
      <w:bookmarkStart w:id="843" w:name="_Toc113958514"/>
      <w:bookmarkStart w:id="844" w:name="_Ref532362124"/>
      <w:r>
        <w:rPr>
          <w:rFonts w:hint="eastAsia" w:asciiTheme="minorEastAsia" w:hAnsiTheme="minorEastAsia" w:eastAsiaTheme="minorEastAsia" w:cstheme="minorEastAsia"/>
          <w:b w:val="0"/>
          <w:bCs/>
          <w:sz w:val="21"/>
          <w:szCs w:val="21"/>
        </w:rPr>
        <w:t>8.2 竣工日期</w:t>
      </w:r>
      <w:bookmarkEnd w:id="841"/>
      <w:bookmarkEnd w:id="842"/>
      <w:bookmarkEnd w:id="843"/>
      <w:bookmarkEnd w:id="844"/>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承包人应在合同协议书约定的工期内完成合同工作。除专用合同条件另有约定外，工程的竣工日期以第10.1条[竣工验收]的约定为准，并在工程接收证书中写明。</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因发包人原因，在工程师收到承包人竣工验收申请报告42天后未进行验收的，视为验收合格，实际竣工日期以提交竣工验收申请报告的日期为准，但发包人由于不可抗力不能进行验收的除外。</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45" w:name="_Toc1870"/>
      <w:bookmarkStart w:id="846" w:name="_Toc113958515"/>
      <w:bookmarkStart w:id="847" w:name="_Ref11863334"/>
      <w:bookmarkStart w:id="848" w:name="_Toc54862250"/>
      <w:bookmarkStart w:id="849" w:name="_Ref532362204"/>
      <w:bookmarkStart w:id="850" w:name="_Ref532352856"/>
      <w:bookmarkStart w:id="851" w:name="_Ref532352853"/>
      <w:bookmarkStart w:id="852" w:name="_Ref532362207"/>
      <w:r>
        <w:rPr>
          <w:rFonts w:hint="eastAsia" w:asciiTheme="minorEastAsia" w:hAnsiTheme="minorEastAsia" w:eastAsiaTheme="minorEastAsia" w:cstheme="minorEastAsia"/>
          <w:b w:val="0"/>
          <w:bCs/>
          <w:sz w:val="21"/>
          <w:szCs w:val="21"/>
        </w:rPr>
        <w:t>8.3 项目实施计划</w:t>
      </w:r>
      <w:bookmarkEnd w:id="845"/>
      <w:bookmarkEnd w:id="846"/>
      <w:bookmarkEnd w:id="847"/>
      <w:bookmarkEnd w:id="848"/>
    </w:p>
    <w:p>
      <w:pPr>
        <w:pStyle w:val="87"/>
        <w:spacing w:afterLines="0"/>
        <w:ind w:left="0" w:firstLine="420" w:firstLineChars="200"/>
        <w:rPr>
          <w:rFonts w:asciiTheme="minorEastAsia" w:hAnsiTheme="minorEastAsia" w:eastAsiaTheme="minorEastAsia" w:cstheme="minorEastAsia"/>
          <w:sz w:val="21"/>
        </w:rPr>
      </w:pPr>
      <w:bookmarkStart w:id="853" w:name="_Ref18990904"/>
      <w:r>
        <w:rPr>
          <w:rFonts w:hint="eastAsia" w:asciiTheme="minorEastAsia" w:hAnsiTheme="minorEastAsia" w:eastAsiaTheme="minorEastAsia" w:cstheme="minorEastAsia"/>
          <w:sz w:val="21"/>
        </w:rPr>
        <w:t>8.3.1 项目实施计划的内容</w:t>
      </w:r>
      <w:bookmarkEnd w:id="85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pPr>
        <w:pStyle w:val="87"/>
        <w:spacing w:afterLines="0"/>
        <w:ind w:left="0" w:firstLine="420" w:firstLineChars="200"/>
        <w:rPr>
          <w:rFonts w:asciiTheme="minorEastAsia" w:hAnsiTheme="minorEastAsia" w:eastAsiaTheme="minorEastAsia" w:cstheme="minorEastAsia"/>
          <w:sz w:val="21"/>
        </w:rPr>
      </w:pPr>
      <w:bookmarkStart w:id="854" w:name="_Ref18990921"/>
      <w:r>
        <w:rPr>
          <w:rFonts w:hint="eastAsia" w:asciiTheme="minorEastAsia" w:hAnsiTheme="minorEastAsia" w:eastAsiaTheme="minorEastAsia" w:cstheme="minorEastAsia"/>
          <w:sz w:val="21"/>
        </w:rPr>
        <w:t>8.3.2 项目实施计划的提交和修改</w:t>
      </w:r>
      <w:bookmarkEnd w:id="85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应在合同订立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项目进度计划的编制和修改按照第8.4款[项目进度计划]执行。</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55" w:name="_Ref11865507"/>
      <w:bookmarkStart w:id="856" w:name="_Toc54862251"/>
      <w:bookmarkStart w:id="857" w:name="_Toc26269"/>
      <w:bookmarkStart w:id="858" w:name="_Toc113958516"/>
      <w:r>
        <w:rPr>
          <w:rFonts w:hint="eastAsia" w:asciiTheme="minorEastAsia" w:hAnsiTheme="minorEastAsia" w:eastAsiaTheme="minorEastAsia" w:cstheme="minorEastAsia"/>
          <w:b w:val="0"/>
          <w:bCs/>
          <w:sz w:val="21"/>
          <w:szCs w:val="21"/>
        </w:rPr>
        <w:t>8.4 项目进度计划</w:t>
      </w:r>
      <w:bookmarkEnd w:id="849"/>
      <w:bookmarkEnd w:id="850"/>
      <w:bookmarkEnd w:id="851"/>
      <w:bookmarkEnd w:id="852"/>
      <w:bookmarkEnd w:id="855"/>
      <w:bookmarkEnd w:id="856"/>
      <w:bookmarkEnd w:id="857"/>
      <w:bookmarkEnd w:id="858"/>
    </w:p>
    <w:p>
      <w:pPr>
        <w:pStyle w:val="87"/>
        <w:spacing w:afterLines="0"/>
        <w:ind w:left="0" w:firstLine="420" w:firstLineChars="200"/>
        <w:rPr>
          <w:rFonts w:asciiTheme="minorEastAsia" w:hAnsiTheme="minorEastAsia" w:eastAsiaTheme="minorEastAsia" w:cstheme="minorEastAsia"/>
          <w:sz w:val="21"/>
        </w:rPr>
      </w:pPr>
      <w:bookmarkStart w:id="859" w:name="_Ref4681217"/>
      <w:r>
        <w:rPr>
          <w:rFonts w:hint="eastAsia" w:asciiTheme="minorEastAsia" w:hAnsiTheme="minorEastAsia" w:eastAsiaTheme="minorEastAsia" w:cstheme="minorEastAsia"/>
          <w:sz w:val="21"/>
        </w:rPr>
        <w:t>8.4.1 项目进度计划的提交和修改</w:t>
      </w:r>
      <w:bookmarkEnd w:id="85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照第8.3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87"/>
        <w:spacing w:afterLines="0"/>
        <w:ind w:left="0" w:firstLine="420" w:firstLineChars="200"/>
        <w:rPr>
          <w:rFonts w:asciiTheme="minorEastAsia" w:hAnsiTheme="minorEastAsia" w:eastAsiaTheme="minorEastAsia" w:cstheme="minorEastAsia"/>
          <w:sz w:val="21"/>
        </w:rPr>
      </w:pPr>
      <w:bookmarkStart w:id="860" w:name="_Ref4429079"/>
      <w:r>
        <w:rPr>
          <w:rFonts w:hint="eastAsia" w:asciiTheme="minorEastAsia" w:hAnsiTheme="minorEastAsia" w:eastAsiaTheme="minorEastAsia" w:cstheme="minorEastAsia"/>
          <w:sz w:val="21"/>
        </w:rPr>
        <w:t>8.4.2 项目进度计划的内容</w:t>
      </w:r>
      <w:bookmarkEnd w:id="86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87"/>
        <w:spacing w:afterLines="0"/>
        <w:ind w:left="0" w:firstLine="420" w:firstLineChars="200"/>
        <w:rPr>
          <w:rFonts w:asciiTheme="minorEastAsia" w:hAnsiTheme="minorEastAsia" w:eastAsiaTheme="minorEastAsia" w:cstheme="minorEastAsia"/>
          <w:sz w:val="21"/>
        </w:rPr>
      </w:pPr>
      <w:bookmarkStart w:id="861" w:name="_Ref3848203"/>
      <w:r>
        <w:rPr>
          <w:rFonts w:hint="eastAsia" w:asciiTheme="minorEastAsia" w:hAnsiTheme="minorEastAsia" w:eastAsiaTheme="minorEastAsia" w:cstheme="minorEastAsia"/>
          <w:sz w:val="21"/>
        </w:rPr>
        <w:t>8.4.3 项目进度计划的修订</w:t>
      </w:r>
      <w:bookmarkEnd w:id="86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除合同当事人另有约定外，项目进度计划的修订并不能减轻或者免除双方按第8.7款[工期延误]、第8.8款[工期提前]、第8.9款[暂停工作]应承担的合同责任。</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62" w:name="_Toc7407"/>
      <w:bookmarkStart w:id="863" w:name="_Toc54862252"/>
      <w:bookmarkStart w:id="864" w:name="_Ref532362276"/>
      <w:bookmarkStart w:id="865" w:name="_Toc113958517"/>
      <w:bookmarkStart w:id="866" w:name="_Ref532362278"/>
      <w:r>
        <w:rPr>
          <w:rFonts w:hint="eastAsia" w:asciiTheme="minorEastAsia" w:hAnsiTheme="minorEastAsia" w:eastAsiaTheme="minorEastAsia" w:cstheme="minorEastAsia"/>
          <w:b w:val="0"/>
          <w:bCs/>
          <w:sz w:val="21"/>
          <w:szCs w:val="21"/>
        </w:rPr>
        <w:t>8.5 进度报告</w:t>
      </w:r>
      <w:bookmarkEnd w:id="862"/>
      <w:bookmarkEnd w:id="863"/>
      <w:bookmarkEnd w:id="864"/>
      <w:bookmarkEnd w:id="865"/>
      <w:bookmarkEnd w:id="86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项目实施过程中，承包人应进行实际进度记录，并根据工程师的要求编制月进度报告，并提交给工程师。进度报告应包含以下主要内容：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工程设计、采购、施工等各个工作内容的进展报告；</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工程施工方法的一般说明；</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当月工程实施介入的项目人员、设备和材料的预估明细报告；</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 当月实际进度与进度计划对比分析，以及提出未来可能引起工期延误的情形，同时提出应对措施；需要修订项目进度计划的，应对项目进度计划的修订部分进行说明；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承包人对于解决工期延误所提出的建议；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其他与工程有关的重大事项。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进度报告的具体要求等，在专用合同条件约定。</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67" w:name="_Toc2604"/>
      <w:bookmarkStart w:id="868" w:name="_Toc113958518"/>
      <w:bookmarkStart w:id="869" w:name="_Toc54862253"/>
      <w:r>
        <w:rPr>
          <w:rFonts w:hint="eastAsia" w:asciiTheme="minorEastAsia" w:hAnsiTheme="minorEastAsia" w:eastAsiaTheme="minorEastAsia" w:cstheme="minorEastAsia"/>
          <w:b w:val="0"/>
          <w:bCs/>
          <w:sz w:val="21"/>
          <w:szCs w:val="21"/>
        </w:rPr>
        <w:t>8.6 提前预警</w:t>
      </w:r>
      <w:bookmarkEnd w:id="867"/>
      <w:bookmarkEnd w:id="868"/>
      <w:bookmarkEnd w:id="86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任何一方应当在下列情形发生时尽快书面通知另一方：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该情形可能对合同的履行或实现合同目的产生不利影响；</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该情形可能对工程完成后的使用产生不利影响；</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该情形可能导致合同价款增加；</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该情形可能导致整个工程或单位/区段工程的工期延长。</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发包人有权要求承包人根据第13.2款[承包人的合理化建议]的约定提交变更建议，采取措施尽量避免或最小化上述情形的发生或影响。</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870" w:name="_Toc4784175"/>
      <w:bookmarkEnd w:id="870"/>
      <w:bookmarkStart w:id="871" w:name="_Toc4784158"/>
      <w:bookmarkEnd w:id="871"/>
      <w:bookmarkStart w:id="872" w:name="_Toc4784159"/>
      <w:bookmarkEnd w:id="872"/>
      <w:bookmarkStart w:id="873" w:name="_Toc4784166"/>
      <w:bookmarkEnd w:id="873"/>
      <w:bookmarkStart w:id="874" w:name="_Toc4784163"/>
      <w:bookmarkEnd w:id="874"/>
      <w:bookmarkStart w:id="875" w:name="_Toc4784172"/>
      <w:bookmarkEnd w:id="875"/>
      <w:bookmarkStart w:id="876" w:name="_Toc4784162"/>
      <w:bookmarkEnd w:id="876"/>
      <w:bookmarkStart w:id="877" w:name="_Toc4784155"/>
      <w:bookmarkEnd w:id="877"/>
      <w:bookmarkStart w:id="878" w:name="_Toc4784165"/>
      <w:bookmarkEnd w:id="878"/>
      <w:bookmarkStart w:id="879" w:name="_Toc4784156"/>
      <w:bookmarkEnd w:id="879"/>
      <w:bookmarkStart w:id="880" w:name="_Toc4784160"/>
      <w:bookmarkEnd w:id="880"/>
      <w:bookmarkStart w:id="881" w:name="_Toc4784161"/>
      <w:bookmarkEnd w:id="881"/>
      <w:bookmarkStart w:id="882" w:name="_Toc4784164"/>
      <w:bookmarkEnd w:id="882"/>
      <w:bookmarkStart w:id="883" w:name="_Toc4784171"/>
      <w:bookmarkEnd w:id="883"/>
      <w:bookmarkStart w:id="884" w:name="_Toc4784157"/>
      <w:bookmarkEnd w:id="884"/>
      <w:bookmarkStart w:id="885" w:name="_Toc4784168"/>
      <w:bookmarkEnd w:id="885"/>
      <w:bookmarkStart w:id="886" w:name="_Toc4784173"/>
      <w:bookmarkEnd w:id="886"/>
      <w:bookmarkStart w:id="887" w:name="_Toc4784169"/>
      <w:bookmarkEnd w:id="887"/>
      <w:bookmarkStart w:id="888" w:name="_Toc4784174"/>
      <w:bookmarkEnd w:id="888"/>
      <w:bookmarkStart w:id="889" w:name="_Toc4784154"/>
      <w:bookmarkEnd w:id="889"/>
      <w:bookmarkStart w:id="890" w:name="_Toc4784170"/>
      <w:bookmarkEnd w:id="890"/>
      <w:bookmarkStart w:id="891" w:name="_Toc4784167"/>
      <w:bookmarkEnd w:id="891"/>
      <w:bookmarkStart w:id="892" w:name="_Toc113958519"/>
      <w:bookmarkStart w:id="893" w:name="_Ref4770106"/>
      <w:bookmarkStart w:id="894" w:name="_Toc11016"/>
      <w:bookmarkStart w:id="895" w:name="_Toc54862254"/>
      <w:bookmarkStart w:id="896" w:name="_Ref532362359"/>
      <w:bookmarkStart w:id="897" w:name="_Ref532362356"/>
      <w:r>
        <w:rPr>
          <w:rFonts w:hint="eastAsia" w:asciiTheme="minorEastAsia" w:hAnsiTheme="minorEastAsia" w:eastAsiaTheme="minorEastAsia" w:cstheme="minorEastAsia"/>
          <w:b w:val="0"/>
          <w:bCs/>
          <w:sz w:val="21"/>
          <w:szCs w:val="21"/>
        </w:rPr>
        <w:t>8.7 工期延误</w:t>
      </w:r>
      <w:bookmarkEnd w:id="892"/>
      <w:bookmarkEnd w:id="893"/>
      <w:bookmarkEnd w:id="894"/>
      <w:bookmarkEnd w:id="895"/>
    </w:p>
    <w:p>
      <w:pPr>
        <w:pStyle w:val="87"/>
        <w:spacing w:afterLines="0"/>
        <w:ind w:left="0" w:firstLine="420" w:firstLineChars="200"/>
        <w:rPr>
          <w:rFonts w:asciiTheme="minorEastAsia" w:hAnsiTheme="minorEastAsia" w:eastAsiaTheme="minorEastAsia" w:cstheme="minorEastAsia"/>
          <w:sz w:val="21"/>
        </w:rPr>
      </w:pPr>
      <w:bookmarkStart w:id="898" w:name="_Ref4796050"/>
      <w:r>
        <w:rPr>
          <w:rFonts w:hint="eastAsia" w:asciiTheme="minorEastAsia" w:hAnsiTheme="minorEastAsia" w:eastAsiaTheme="minorEastAsia" w:cstheme="minorEastAsia"/>
          <w:sz w:val="21"/>
        </w:rPr>
        <w:t>8.7.1 因发包人原因导致工期延误</w:t>
      </w:r>
      <w:bookmarkEnd w:id="89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在合同履行过程中，因下列情况导致工期延误和（或）费用增加的，由发包人承担由此延误的工期和（或）增加的费用，且发包人应支付承包人合理的利润：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根据第13条[变更与调整]的约定构成一项变更的；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发包人违反本合同约定，导致工期延误和（或）费用增加的；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发包人、发包人代表、工程师或发包人聘请的任意第三方造成或引起的任何延误、妨碍和阻碍；</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发包人未能依据第6.2.1项[发包人提供的材料和工程设备]的约定提供材料和工程设备导致工期延误和（或）费用增加的；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因发包人原因导致的暂停施工；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发包人未及时履行相关合同义务，造成工期延误的其他原因。</w:t>
      </w:r>
    </w:p>
    <w:p>
      <w:pPr>
        <w:pStyle w:val="87"/>
        <w:spacing w:afterLines="0"/>
        <w:ind w:left="0" w:firstLine="420" w:firstLineChars="200"/>
        <w:rPr>
          <w:rFonts w:asciiTheme="minorEastAsia" w:hAnsiTheme="minorEastAsia" w:eastAsiaTheme="minorEastAsia" w:cstheme="minorEastAsia"/>
          <w:sz w:val="21"/>
        </w:rPr>
      </w:pPr>
      <w:bookmarkStart w:id="899" w:name="_Ref4770209"/>
      <w:r>
        <w:rPr>
          <w:rFonts w:hint="eastAsia" w:asciiTheme="minorEastAsia" w:hAnsiTheme="minorEastAsia" w:eastAsiaTheme="minorEastAsia" w:cstheme="minorEastAsia"/>
          <w:sz w:val="21"/>
        </w:rPr>
        <w:t>8.7.2 因承包人原因导致工期延误</w:t>
      </w:r>
      <w:bookmarkEnd w:id="89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由于承包人的原因，未能按项目进度计划完成工作，承包人应采取措施加快进度，并承担加快进度所增加的费用。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87"/>
        <w:spacing w:afterLines="0"/>
        <w:ind w:left="0" w:firstLine="420" w:firstLineChars="200"/>
        <w:rPr>
          <w:rFonts w:asciiTheme="minorEastAsia" w:hAnsiTheme="minorEastAsia" w:eastAsiaTheme="minorEastAsia" w:cstheme="minorEastAsia"/>
          <w:sz w:val="21"/>
        </w:rPr>
      </w:pPr>
      <w:bookmarkStart w:id="900" w:name="_Ref4770872"/>
      <w:r>
        <w:rPr>
          <w:rFonts w:hint="eastAsia" w:asciiTheme="minorEastAsia" w:hAnsiTheme="minorEastAsia" w:eastAsiaTheme="minorEastAsia" w:cstheme="minorEastAsia"/>
          <w:sz w:val="21"/>
        </w:rPr>
        <w:t>8.7.3 行政审批迟延</w:t>
      </w:r>
      <w:bookmarkEnd w:id="900"/>
      <w:r>
        <w:rPr>
          <w:rFonts w:hint="eastAsia" w:asciiTheme="minorEastAsia" w:hAnsiTheme="minorEastAsia" w:eastAsiaTheme="minorEastAsia" w:cstheme="minorEastAsia"/>
          <w:sz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pPr>
        <w:pStyle w:val="87"/>
        <w:spacing w:afterLines="0"/>
        <w:ind w:left="0" w:firstLine="420" w:firstLineChars="200"/>
        <w:rPr>
          <w:rFonts w:asciiTheme="minorEastAsia" w:hAnsiTheme="minorEastAsia" w:eastAsiaTheme="minorEastAsia" w:cstheme="minorEastAsia"/>
          <w:sz w:val="21"/>
        </w:rPr>
      </w:pPr>
      <w:bookmarkStart w:id="901" w:name="_Ref4770933"/>
      <w:r>
        <w:rPr>
          <w:rFonts w:hint="eastAsia" w:asciiTheme="minorEastAsia" w:hAnsiTheme="minorEastAsia" w:eastAsiaTheme="minorEastAsia" w:cstheme="minorEastAsia"/>
          <w:sz w:val="21"/>
        </w:rPr>
        <w:t>8.7.4 异常恶劣的气候条件</w:t>
      </w:r>
      <w:bookmarkEnd w:id="90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采取克服异常恶劣的气候条件的合理措施继续施工，并及时通知工程师。工程师应当及时发出指示，指示构成变更的，按第13条[变更与调整]约定办理。承包人因采取合理措施而延误的工期由发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02" w:name="_Toc54862255"/>
      <w:bookmarkStart w:id="903" w:name="_Toc814"/>
      <w:bookmarkStart w:id="904" w:name="_Ref4781828"/>
      <w:bookmarkStart w:id="905" w:name="_Toc113958520"/>
      <w:r>
        <w:rPr>
          <w:rFonts w:hint="eastAsia" w:asciiTheme="minorEastAsia" w:hAnsiTheme="minorEastAsia" w:eastAsiaTheme="minorEastAsia" w:cstheme="minorEastAsia"/>
          <w:b w:val="0"/>
          <w:bCs/>
          <w:sz w:val="21"/>
          <w:szCs w:val="21"/>
        </w:rPr>
        <w:t>8.8 工期提前</w:t>
      </w:r>
      <w:bookmarkEnd w:id="896"/>
      <w:bookmarkEnd w:id="897"/>
      <w:bookmarkEnd w:id="902"/>
      <w:bookmarkEnd w:id="903"/>
      <w:bookmarkEnd w:id="904"/>
      <w:bookmarkEnd w:id="905"/>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8.8.1 发包人指示承包人提前竣工且被承包人接受的，应与承包人共同协商采取加快工程进度的措施和修订项目进度计划。发包人应承担承包人由此增加的费用，增加的费用按第13条[变更与调整]的约定执行；发包人不得以任何理由要求承包人超过合理限度压缩工期。承包人有权不接受提前竣工的指示，工期按照合同约定执行。</w:t>
      </w:r>
    </w:p>
    <w:p>
      <w:pPr>
        <w:pStyle w:val="87"/>
        <w:spacing w:afterLines="0"/>
        <w:ind w:left="0" w:firstLine="420" w:firstLineChars="200"/>
        <w:rPr>
          <w:rFonts w:asciiTheme="minorEastAsia" w:hAnsiTheme="minorEastAsia" w:eastAsiaTheme="minorEastAsia" w:cstheme="minorEastAsia"/>
          <w:sz w:val="21"/>
        </w:rPr>
      </w:pPr>
      <w:bookmarkStart w:id="906" w:name="_Ref4429347"/>
      <w:r>
        <w:rPr>
          <w:rFonts w:hint="eastAsia" w:asciiTheme="minorEastAsia" w:hAnsiTheme="minorEastAsia" w:eastAsiaTheme="minorEastAsia" w:cstheme="minorEastAsia"/>
          <w:sz w:val="21"/>
        </w:rPr>
        <w:t>8.8.2 承包人提出提前竣工的建议且发包人接受的，应与发包人共同协商采取加快工程进度的措施和修订项目进度计划。发包人应承担承包人由此增加的费用，增加的费用按第13条[变更与调整]的约定执行，并向承包人支付专用合同条件约定的相应奖励金。</w:t>
      </w:r>
      <w:bookmarkEnd w:id="906"/>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07" w:name="_Toc11585"/>
      <w:bookmarkStart w:id="908" w:name="_Ref4615031"/>
      <w:bookmarkStart w:id="909" w:name="_Toc113958521"/>
      <w:bookmarkStart w:id="910" w:name="_Toc54862256"/>
      <w:bookmarkStart w:id="911" w:name="_Ref4615040"/>
      <w:r>
        <w:rPr>
          <w:rFonts w:hint="eastAsia" w:asciiTheme="minorEastAsia" w:hAnsiTheme="minorEastAsia" w:eastAsiaTheme="minorEastAsia" w:cstheme="minorEastAsia"/>
          <w:b w:val="0"/>
          <w:bCs/>
          <w:sz w:val="21"/>
          <w:szCs w:val="21"/>
        </w:rPr>
        <w:t>8.9 暂停工作</w:t>
      </w:r>
      <w:bookmarkEnd w:id="907"/>
      <w:bookmarkEnd w:id="908"/>
      <w:bookmarkEnd w:id="909"/>
      <w:bookmarkEnd w:id="910"/>
      <w:bookmarkEnd w:id="911"/>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912" w:name="_Ref4709151"/>
      <w:r>
        <w:rPr>
          <w:rFonts w:hint="eastAsia" w:asciiTheme="minorEastAsia" w:hAnsiTheme="minorEastAsia" w:eastAsiaTheme="minorEastAsia" w:cstheme="minorEastAsia"/>
          <w:sz w:val="21"/>
        </w:rPr>
        <w:t>8.9.1 由发包人暂停工作</w:t>
      </w:r>
      <w:bookmarkEnd w:id="91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发包人认为必要时，可通过工程师向承包人发出经发包人签认的暂停工作通知，应列明暂停原因、暂停的日期及预计暂停的期限。承包人应按该通知暂停工作。</w:t>
      </w:r>
      <w:bookmarkStart w:id="913" w:name="_Ref470923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承包人因执行暂停工作通知而造成费用的增加和（或）工期延误由发包人承担，并有权要求发包人支付合理利润，但</w:t>
      </w:r>
      <w:bookmarkEnd w:id="913"/>
      <w:r>
        <w:rPr>
          <w:rFonts w:hint="eastAsia" w:asciiTheme="minorEastAsia" w:hAnsiTheme="minorEastAsia" w:eastAsiaTheme="minorEastAsia" w:cstheme="minorEastAsia"/>
          <w:sz w:val="21"/>
          <w:szCs w:val="21"/>
        </w:rPr>
        <w:t>由于承包人原因造成发包人暂停工作的除外。</w:t>
      </w:r>
    </w:p>
    <w:p>
      <w:pPr>
        <w:pStyle w:val="87"/>
        <w:spacing w:afterLines="0"/>
        <w:ind w:left="0" w:firstLine="420" w:firstLineChars="200"/>
        <w:rPr>
          <w:rFonts w:asciiTheme="minorEastAsia" w:hAnsiTheme="minorEastAsia" w:eastAsiaTheme="minorEastAsia" w:cstheme="minorEastAsia"/>
          <w:sz w:val="21"/>
        </w:rPr>
      </w:pPr>
      <w:bookmarkStart w:id="914" w:name="_Ref18972173"/>
      <w:r>
        <w:rPr>
          <w:rFonts w:hint="eastAsia" w:asciiTheme="minorEastAsia" w:hAnsiTheme="minorEastAsia" w:eastAsiaTheme="minorEastAsia" w:cstheme="minorEastAsia"/>
          <w:sz w:val="21"/>
        </w:rPr>
        <w:t>8.9.2 由承包人暂停工作</w:t>
      </w:r>
      <w:bookmarkEnd w:id="914"/>
      <w:r>
        <w:rPr>
          <w:rFonts w:hint="eastAsia" w:asciiTheme="minorEastAsia" w:hAnsiTheme="minorEastAsia" w:eastAsiaTheme="minorEastAsia" w:cstheme="minorEastAsia"/>
          <w:sz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所造成部分或全部工程的暂停，承包人应采取措施尽快复工并赶上进度，由此造成费用的增加或工期延误由承包人承担。因此造成逾期竣工的，承包人应按第8.7.2项[因承包人原因导致工期延误]承担逾期竣工违约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915" w:name="_Ref4709224"/>
      <w:r>
        <w:rPr>
          <w:rFonts w:hint="eastAsia" w:asciiTheme="minorEastAsia" w:hAnsiTheme="minorEastAsia" w:eastAsiaTheme="minorEastAsia" w:cstheme="minorEastAsia"/>
          <w:sz w:val="21"/>
          <w:szCs w:val="21"/>
        </w:rPr>
        <w:t>（1） 发包人拖延、拒绝批准付款申请和支付证书，或未能按合同约定支付价款，导致付款延误的；</w:t>
      </w:r>
      <w:bookmarkEnd w:id="91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发包人未按约定履行合同其他义务导致承包人无法继续履行合同的，或者发包人明确表示暂停或实质上已暂停履行合同的。</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8.9.3 除上述原因以外的暂停工作，双方应遵守第17条[不可抗力]的相关约定。</w:t>
      </w:r>
    </w:p>
    <w:p>
      <w:pPr>
        <w:pStyle w:val="87"/>
        <w:spacing w:afterLines="0"/>
        <w:ind w:left="0" w:firstLine="420" w:firstLineChars="200"/>
        <w:rPr>
          <w:rFonts w:asciiTheme="minorEastAsia" w:hAnsiTheme="minorEastAsia" w:eastAsiaTheme="minorEastAsia" w:cstheme="minorEastAsia"/>
          <w:sz w:val="21"/>
        </w:rPr>
      </w:pPr>
      <w:bookmarkStart w:id="916" w:name="_Ref4709158"/>
      <w:r>
        <w:rPr>
          <w:rFonts w:hint="eastAsia" w:asciiTheme="minorEastAsia" w:hAnsiTheme="minorEastAsia" w:eastAsiaTheme="minorEastAsia" w:cstheme="minorEastAsia"/>
          <w:sz w:val="21"/>
        </w:rPr>
        <w:t>8.9.4 暂停工作期间的工程照管</w:t>
      </w:r>
      <w:bookmarkEnd w:id="916"/>
      <w:r>
        <w:rPr>
          <w:rFonts w:hint="eastAsia" w:asciiTheme="minorEastAsia" w:hAnsiTheme="minorEastAsia" w:eastAsiaTheme="minorEastAsia" w:cstheme="minorEastAsia"/>
          <w:sz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论由于何种原因引起暂停工作的，暂停工作期间，承包人应负责对工程、工程物资及文件等进行照管和保护，并提供安全保障，由此增加的费用按第8.9.1项[由发包人暂停工作]和第8.9.2项[由承包人暂停工作]的约定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因承包人未能尽到照管、保护的责任造成损失的，使发包人的费用增加，（或）竣工日期延误的，由承包人按本合同约定承担责任。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8.9.5 拖长的暂停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第8.9.1项[由发包人暂停工作]暂停工作持续超过56天的，承包人可向发包人发出要求复工的通知。如果发包人没有在收到书面通知后28天内准许已暂停工作的全部或部分继续工作，承包人有权根据第13条[变更与调整]的约定，要求以变更方式调减受暂停影响的部分工程。发包人的暂停超过56天且暂停影响到整个工程的，承包人有权根据第16.2款[由承包人解除合同]的约定，发出解除合同的通知。</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17" w:name="_Toc54862257"/>
      <w:bookmarkStart w:id="918" w:name="_Toc12136"/>
      <w:bookmarkStart w:id="919" w:name="_Toc113958522"/>
      <w:r>
        <w:rPr>
          <w:rFonts w:hint="eastAsia" w:asciiTheme="minorEastAsia" w:hAnsiTheme="minorEastAsia" w:eastAsiaTheme="minorEastAsia" w:cstheme="minorEastAsia"/>
          <w:b w:val="0"/>
          <w:bCs/>
          <w:sz w:val="21"/>
          <w:szCs w:val="21"/>
        </w:rPr>
        <w:t>8.10 复工</w:t>
      </w:r>
      <w:bookmarkEnd w:id="917"/>
      <w:bookmarkEnd w:id="918"/>
      <w:bookmarkEnd w:id="919"/>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8.10.1 收到发包人的复工通知后，承包人应按通知时间复工；发包人通知的复工时间应当给予承包人必要的准备复工时间。</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8.10.2 不论由于何种原因引起暂停工作，双方均可要求对方一同对受暂停影响的工程、工程设备和工程物资进行检查，承包人应将检查结果及需要恢复、修复的内容和估算通知发包人。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8.10.3 除第17条[不可抗力]另有约定外，发生的恢复、修复价款及工期延误的后果由责任方承担。</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920" w:name="_Toc113958523"/>
      <w:bookmarkStart w:id="921" w:name="_Toc54862258"/>
      <w:bookmarkStart w:id="922" w:name="_Ref4621029"/>
      <w:bookmarkStart w:id="923" w:name="_Ref4621041"/>
      <w:bookmarkStart w:id="924" w:name="_Toc8194"/>
      <w:r>
        <w:rPr>
          <w:rFonts w:hint="eastAsia" w:asciiTheme="minorEastAsia" w:hAnsiTheme="minorEastAsia" w:eastAsiaTheme="minorEastAsia" w:cstheme="minorEastAsia"/>
          <w:bCs/>
          <w:sz w:val="21"/>
          <w:szCs w:val="21"/>
        </w:rPr>
        <w:t>第9条 竣工试验</w:t>
      </w:r>
      <w:bookmarkEnd w:id="828"/>
      <w:bookmarkEnd w:id="920"/>
      <w:bookmarkEnd w:id="921"/>
      <w:bookmarkEnd w:id="922"/>
      <w:bookmarkEnd w:id="923"/>
      <w:bookmarkEnd w:id="924"/>
      <w:r>
        <w:rPr>
          <w:rFonts w:hint="eastAsia" w:asciiTheme="minorEastAsia" w:hAnsiTheme="minorEastAsia" w:eastAsiaTheme="minorEastAsia" w:cstheme="minorEastAsia"/>
          <w:bCs/>
          <w:sz w:val="21"/>
          <w:szCs w:val="21"/>
        </w:rPr>
        <w:t xml:space="preserve"> </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25" w:name="_Ref532586251"/>
      <w:bookmarkStart w:id="926" w:name="_Toc54862259"/>
      <w:bookmarkStart w:id="927" w:name="_Ref532586248"/>
      <w:bookmarkStart w:id="928" w:name="_Toc16501"/>
      <w:bookmarkStart w:id="929" w:name="_Toc113958524"/>
      <w:r>
        <w:rPr>
          <w:rFonts w:hint="eastAsia" w:asciiTheme="minorEastAsia" w:hAnsiTheme="minorEastAsia" w:eastAsiaTheme="minorEastAsia" w:cstheme="minorEastAsia"/>
          <w:b w:val="0"/>
          <w:bCs/>
          <w:sz w:val="21"/>
          <w:szCs w:val="21"/>
        </w:rPr>
        <w:t>9.1 竣工试验的义务</w:t>
      </w:r>
      <w:bookmarkEnd w:id="925"/>
      <w:bookmarkEnd w:id="926"/>
      <w:bookmarkEnd w:id="927"/>
      <w:bookmarkEnd w:id="928"/>
      <w:bookmarkEnd w:id="929"/>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9.1.1 承包人完成工程或区段工程进行竣工试验所需的作业，并根据第5.4款[竣工文件]和第5.5款[操作和维修手册]提交文件后，进行竣工试验。</w:t>
      </w:r>
      <w:bookmarkStart w:id="930" w:name="_Ref532586608"/>
    </w:p>
    <w:p>
      <w:pPr>
        <w:pStyle w:val="87"/>
        <w:spacing w:afterLines="0"/>
        <w:ind w:left="0" w:firstLine="420" w:firstLineChars="200"/>
        <w:rPr>
          <w:rFonts w:asciiTheme="minorEastAsia" w:hAnsiTheme="minorEastAsia" w:eastAsiaTheme="minorEastAsia" w:cstheme="minorEastAsia"/>
          <w:sz w:val="21"/>
        </w:rPr>
      </w:pPr>
      <w:bookmarkStart w:id="931" w:name="_Ref11919920"/>
      <w:r>
        <w:rPr>
          <w:rFonts w:hint="eastAsia" w:asciiTheme="minorEastAsia" w:hAnsiTheme="minorEastAsia" w:eastAsiaTheme="minorEastAsia" w:cstheme="minorEastAsia"/>
          <w:sz w:val="21"/>
        </w:rPr>
        <w:t>9.1.2 承包人应在进行竣工试验之前，至少提前42天向工程师提交详细的竣工试验计划，该计划应载明竣工试验的内容、地点、拟开展时间和需要发包人提供的资源条件。</w:t>
      </w:r>
      <w:bookmarkEnd w:id="930"/>
      <w:r>
        <w:rPr>
          <w:rFonts w:hint="eastAsia" w:asciiTheme="minorEastAsia" w:hAnsiTheme="minorEastAsia" w:eastAsiaTheme="minorEastAsia" w:cstheme="minorEastAsia"/>
          <w:sz w:val="21"/>
        </w:rPr>
        <w:t>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bookmarkEnd w:id="931"/>
    </w:p>
    <w:p>
      <w:pPr>
        <w:pStyle w:val="87"/>
        <w:spacing w:afterLines="0"/>
        <w:ind w:left="0" w:firstLine="420" w:firstLineChars="200"/>
        <w:rPr>
          <w:rFonts w:asciiTheme="minorEastAsia" w:hAnsiTheme="minorEastAsia" w:eastAsiaTheme="minorEastAsia" w:cstheme="minorEastAsia"/>
          <w:sz w:val="21"/>
        </w:rPr>
      </w:pPr>
      <w:bookmarkStart w:id="932" w:name="_Ref532688147"/>
      <w:r>
        <w:rPr>
          <w:rFonts w:hint="eastAsia" w:asciiTheme="minorEastAsia" w:hAnsiTheme="minorEastAsia" w:eastAsiaTheme="minorEastAsia" w:cstheme="minorEastAsia"/>
          <w:sz w:val="21"/>
        </w:rPr>
        <w:t>9.1.3 承包人应根据经确认的竣工试验计划以及第6.5款[由承包人试验和检验]进行竣工试验。除《发包人要求》中另有说明外，竣工试验应按以下顺序分阶段进行，即只有在工程或区段工程已通过上一阶段试验的情况下，才可进行下一阶段试验：</w:t>
      </w:r>
      <w:bookmarkEnd w:id="93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承包人进行启动前试验，包括适当的检查和功能性试验，以证明工程或区段工程的每一部分均能够安全地承受下一阶段试验；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承包人进行启动试验，以证明工程或区段工程能够在所有可利用的操作条件下安全运行，并按照专用合同条件和《发包人要求》中的规定操作；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承包人进行试运行试验。当工程或区段工程能稳定安全运行时，承包人应通知工程师，可以进行其他竣工试验，包括各种性能测试，以证明工程或区段工程符合《发包人要求》中列明的性能保证指标。</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进行上述试验不应构成第10条[验收和工程接收]规定的接收，但试验所产生的任何产品或其他收益均应归属于发包人。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9.1.4 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33" w:name="_Toc16900"/>
      <w:bookmarkStart w:id="934" w:name="_Toc54862260"/>
      <w:bookmarkStart w:id="935" w:name="_Toc113958525"/>
      <w:r>
        <w:rPr>
          <w:rFonts w:hint="eastAsia" w:asciiTheme="minorEastAsia" w:hAnsiTheme="minorEastAsia" w:eastAsiaTheme="minorEastAsia" w:cstheme="minorEastAsia"/>
          <w:b w:val="0"/>
          <w:bCs/>
          <w:sz w:val="21"/>
          <w:szCs w:val="21"/>
        </w:rPr>
        <w:t>9.2 延误的试验</w:t>
      </w:r>
      <w:bookmarkEnd w:id="933"/>
      <w:bookmarkEnd w:id="934"/>
      <w:bookmarkEnd w:id="935"/>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9.2.1 如果承包人已根据第9.1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9.2.2 承包人无正当理由延误进行竣工试验的，工程师可向其发出通知，要求其在收到通知后的21天内进行该项竣工试验。承包人应在该21天的期限内确定进行试验的日期，并至少提前7天通知工程师。</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9.2.3 如果承包人未在该期限内进行竣工试验，则发包人有权自行组织该项竣工试验，由此产生的合理费用由承包人承担。发包人应在试验完成后28天内向承包人发送试验结果。</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36" w:name="_Toc54862261"/>
      <w:bookmarkStart w:id="937" w:name="_Ref532594592"/>
      <w:bookmarkStart w:id="938" w:name="_Ref532594588"/>
      <w:bookmarkStart w:id="939" w:name="_Toc113958526"/>
      <w:bookmarkStart w:id="940" w:name="_Toc10129"/>
      <w:r>
        <w:rPr>
          <w:rFonts w:hint="eastAsia" w:asciiTheme="minorEastAsia" w:hAnsiTheme="minorEastAsia" w:eastAsiaTheme="minorEastAsia" w:cstheme="minorEastAsia"/>
          <w:b w:val="0"/>
          <w:bCs/>
          <w:sz w:val="21"/>
          <w:szCs w:val="21"/>
        </w:rPr>
        <w:t>9.3 重新试验</w:t>
      </w:r>
      <w:bookmarkEnd w:id="936"/>
      <w:bookmarkEnd w:id="937"/>
      <w:bookmarkEnd w:id="938"/>
      <w:bookmarkEnd w:id="939"/>
      <w:bookmarkEnd w:id="940"/>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工程或区段工程未能通过竣工试验，则承包人应根据第6.6款[缺陷和修补]修补缺陷。发包人或承包人可要求按相同的条件，重新进行未通过的试验以及相关工程或区段工程的竣工试验。该等重新进行的试验仍应适用本条对于竣工试验的规定。</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41" w:name="_Ref532688221"/>
      <w:bookmarkStart w:id="942" w:name="_Ref532688226"/>
      <w:bookmarkStart w:id="943" w:name="_Toc16241"/>
      <w:bookmarkStart w:id="944" w:name="_Toc113958527"/>
      <w:bookmarkStart w:id="945" w:name="_Toc54862262"/>
      <w:r>
        <w:rPr>
          <w:rFonts w:hint="eastAsia" w:asciiTheme="minorEastAsia" w:hAnsiTheme="minorEastAsia" w:eastAsiaTheme="minorEastAsia" w:cstheme="minorEastAsia"/>
          <w:b w:val="0"/>
          <w:bCs/>
          <w:sz w:val="21"/>
          <w:szCs w:val="21"/>
        </w:rPr>
        <w:t>9.4 未能通过竣工试验</w:t>
      </w:r>
      <w:bookmarkEnd w:id="941"/>
      <w:bookmarkEnd w:id="942"/>
      <w:bookmarkEnd w:id="943"/>
      <w:bookmarkEnd w:id="944"/>
      <w:bookmarkEnd w:id="945"/>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9.4.1 因发包人原因导致竣工试验未能通过的，承包人进行竣工试验的费用由发包人承担，竣工日期相应顺延。</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9.4.2 如果工程或区段工程未能通过根据第9.3款[重新试验]重新进行的竣工试验的，则：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发包人有权要求承包人根据第6.6款[缺陷和修补]继续进行修补和改正，并根据第9.3款[重新试验]再次进行竣工试验；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946" w:name="_Ref4621461"/>
      <w:r>
        <w:rPr>
          <w:rFonts w:hint="eastAsia" w:asciiTheme="minorEastAsia" w:hAnsiTheme="minorEastAsia" w:eastAsiaTheme="minorEastAsia" w:cstheme="minorEastAsia"/>
          <w:sz w:val="21"/>
          <w:szCs w:val="21"/>
        </w:rPr>
        <w:t>（3） 未能通过竣工试验，使工程或区段工程的任何主要部分丧失了生产、使用功能时，发包人有权指令承包人更换相关部分，承包人应承担因此增加的费用和误期损害赔偿责任，并赔偿发包人的相应损失</w:t>
      </w:r>
      <w:bookmarkEnd w:id="946"/>
      <w:r>
        <w:rPr>
          <w:rFonts w:hint="eastAsia" w:asciiTheme="minorEastAsia" w:hAnsiTheme="minorEastAsia" w:eastAsiaTheme="minorEastAsia" w:cstheme="minorEastAsia"/>
          <w:sz w:val="21"/>
          <w:szCs w:val="21"/>
        </w:rPr>
        <w:t>；</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16.1款[由发包人解除合同]的约定解除合同。</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947" w:name="_Toc18602"/>
      <w:bookmarkStart w:id="948" w:name="_Ref4618338"/>
      <w:bookmarkStart w:id="949" w:name="_Ref4618348"/>
      <w:bookmarkStart w:id="950" w:name="_Toc113958528"/>
      <w:bookmarkStart w:id="951" w:name="_Toc54862263"/>
      <w:bookmarkStart w:id="952" w:name="_Ref4624043"/>
      <w:r>
        <w:rPr>
          <w:rFonts w:hint="eastAsia" w:asciiTheme="minorEastAsia" w:hAnsiTheme="minorEastAsia" w:eastAsiaTheme="minorEastAsia" w:cstheme="minorEastAsia"/>
          <w:bCs/>
          <w:sz w:val="21"/>
          <w:szCs w:val="21"/>
        </w:rPr>
        <w:t>第10条 验收和工程接收</w:t>
      </w:r>
      <w:bookmarkEnd w:id="947"/>
      <w:bookmarkEnd w:id="948"/>
      <w:bookmarkEnd w:id="949"/>
      <w:bookmarkEnd w:id="950"/>
      <w:bookmarkEnd w:id="951"/>
      <w:bookmarkEnd w:id="952"/>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53" w:name="_Ref532359152"/>
      <w:bookmarkStart w:id="954" w:name="_Toc31524"/>
      <w:bookmarkStart w:id="955" w:name="_Toc54862264"/>
      <w:bookmarkStart w:id="956" w:name="_Ref532301202"/>
      <w:bookmarkStart w:id="957" w:name="_Ref532359143"/>
      <w:bookmarkStart w:id="958" w:name="_Toc113958529"/>
      <w:bookmarkStart w:id="959" w:name="_Ref532301199"/>
      <w:bookmarkStart w:id="960" w:name="_Ref532300801"/>
      <w:bookmarkStart w:id="961" w:name="_Ref532300804"/>
      <w:r>
        <w:rPr>
          <w:rFonts w:hint="eastAsia" w:asciiTheme="minorEastAsia" w:hAnsiTheme="minorEastAsia" w:eastAsiaTheme="minorEastAsia" w:cstheme="minorEastAsia"/>
          <w:b w:val="0"/>
          <w:bCs/>
          <w:sz w:val="21"/>
          <w:szCs w:val="21"/>
        </w:rPr>
        <w:t>10.1 竣工验收</w:t>
      </w:r>
      <w:bookmarkEnd w:id="953"/>
      <w:bookmarkEnd w:id="954"/>
      <w:bookmarkEnd w:id="955"/>
      <w:bookmarkEnd w:id="956"/>
      <w:bookmarkEnd w:id="957"/>
      <w:bookmarkEnd w:id="958"/>
      <w:bookmarkEnd w:id="959"/>
      <w:bookmarkEnd w:id="960"/>
      <w:bookmarkEnd w:id="961"/>
    </w:p>
    <w:p>
      <w:pPr>
        <w:pStyle w:val="87"/>
        <w:spacing w:afterLines="0"/>
        <w:ind w:left="0" w:firstLine="420" w:firstLineChars="200"/>
        <w:rPr>
          <w:rFonts w:asciiTheme="minorEastAsia" w:hAnsiTheme="minorEastAsia" w:eastAsiaTheme="minorEastAsia" w:cstheme="minorEastAsia"/>
          <w:sz w:val="21"/>
        </w:rPr>
      </w:pPr>
      <w:bookmarkStart w:id="962" w:name="_Ref532628356"/>
      <w:r>
        <w:rPr>
          <w:rFonts w:hint="eastAsia" w:asciiTheme="minorEastAsia" w:hAnsiTheme="minorEastAsia" w:eastAsiaTheme="minorEastAsia" w:cstheme="minorEastAsia"/>
          <w:sz w:val="21"/>
        </w:rPr>
        <w:t>10.1.1 竣工验收条件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工程具备以下条件的，承包人可以申请竣工验收：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因第13条[变更与调整]导致的工程量删减和第14.5.3项[扫尾工作清单]列入缺陷责任期内完成的扫尾工程和缺陷修补工作外，合同范围内的全部单位/区段工程以及有关工作，包括合同要求的试验和竣工试验均已完成，并符合合同要求；</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已按合同约定编制了扫尾工作和缺陷修补工作清单以及相应实施计划；</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已按合同约定的内容和份数备齐竣工资料；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合同约定要求在竣工验收前应完成的其他工作。</w:t>
      </w:r>
    </w:p>
    <w:bookmarkEnd w:id="962"/>
    <w:p>
      <w:pPr>
        <w:pStyle w:val="87"/>
        <w:spacing w:afterLines="0"/>
        <w:ind w:left="0" w:firstLine="420" w:firstLineChars="200"/>
        <w:rPr>
          <w:rFonts w:asciiTheme="minorEastAsia" w:hAnsiTheme="minorEastAsia" w:eastAsiaTheme="minorEastAsia" w:cstheme="minorEastAsia"/>
          <w:sz w:val="21"/>
        </w:rPr>
      </w:pPr>
      <w:bookmarkStart w:id="963" w:name="_Ref4429424"/>
      <w:bookmarkStart w:id="964" w:name="_Hlk51506601"/>
      <w:r>
        <w:rPr>
          <w:rFonts w:hint="eastAsia" w:asciiTheme="minorEastAsia" w:hAnsiTheme="minorEastAsia" w:eastAsiaTheme="minorEastAsia" w:cstheme="minorEastAsia"/>
          <w:sz w:val="21"/>
        </w:rPr>
        <w:t>10.1.2 竣工验收程序</w:t>
      </w:r>
      <w:bookmarkEnd w:id="963"/>
    </w:p>
    <w:bookmarkEnd w:id="964"/>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除专用合同条件另有约定外，承包人申请竣工验收的，应当按照以下程序进行：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向工程师报送竣工验收申请报告，工程师应在收到竣工验收申请报告后14天内完成审查并报送发包人。工程师审查后认为尚不具备竣工验收条件的，应在收到竣工验收申请报告后的14天内通知承包人，指出在颁发接收证书前承包人还需进行的工作内容。承包人完成工程师通知的全部工作内容后，应再次提交竣工验收申请报告，直至工程师同意为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工程师同意承包人提交的竣工验收申请报告的，或工程师收到竣工验收申请报告后14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965" w:name="_Hlk51506640"/>
      <w:r>
        <w:rPr>
          <w:rFonts w:hint="eastAsia" w:asciiTheme="minorEastAsia" w:hAnsiTheme="minorEastAsia" w:eastAsiaTheme="minorEastAsia" w:cstheme="minorEastAsia"/>
          <w:sz w:val="21"/>
          <w:szCs w:val="21"/>
        </w:rPr>
        <w:t>（4） 因发包人原因，未在工程师收到承包人竣工验收申请报告之日起42天内完成竣工验收的，以承包人提交竣工验收申请报告之日作为工程实际竣工日期。</w:t>
      </w:r>
    </w:p>
    <w:bookmarkEnd w:id="965"/>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工程未经竣工验收，发包人擅自使用的，以转移占有工程之日为实际竣工日期。</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除专用合同条件另有约定外，发包人不按照本项和第10.4款[接收证书]约定组织竣工验收、颁发工程接收证书的，每逾期一天，应以签约合同价为基数，按照贷款市场报价利率（LPR）支付违约金。</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66" w:name="_Ref532301210"/>
      <w:bookmarkStart w:id="967" w:name="_Toc54862265"/>
      <w:bookmarkStart w:id="968" w:name="_Ref532301213"/>
      <w:bookmarkStart w:id="969" w:name="_Toc30514"/>
      <w:bookmarkStart w:id="970" w:name="_Toc113958530"/>
      <w:r>
        <w:rPr>
          <w:rFonts w:hint="eastAsia" w:asciiTheme="minorEastAsia" w:hAnsiTheme="minorEastAsia" w:eastAsiaTheme="minorEastAsia" w:cstheme="minorEastAsia"/>
          <w:b w:val="0"/>
          <w:bCs/>
          <w:sz w:val="21"/>
          <w:szCs w:val="21"/>
        </w:rPr>
        <w:t>10.2 单位/区段工程的验收</w:t>
      </w:r>
      <w:bookmarkEnd w:id="966"/>
      <w:bookmarkEnd w:id="967"/>
      <w:bookmarkEnd w:id="968"/>
      <w:bookmarkEnd w:id="969"/>
      <w:bookmarkEnd w:id="970"/>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10.2.1 发包人根据项目进度计划安排，在全部工程竣工前需要使用已经竣工的单位/区段工程时，或承包人提出经发包人同意时，可进行单位/区段工程验收。验收的程序可参照第10.1款[竣工验收]的约定进行。验收合格后，由工程师向承包人出具经发包人签认的单位/区段工程验收证书。单位/区段工程的验收成果和结论作为全部工程竣工验收申请报告的附件。</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10.2.2 发包人在全部工程竣工前，使用已接收的单位/区段工程导致承包人费用增加的，发包人应承担由此增加的费用和（或）工期延误，并支付承包人合理利润。</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71" w:name="_Toc3783"/>
      <w:bookmarkStart w:id="972" w:name="_Toc54862266"/>
      <w:bookmarkStart w:id="973" w:name="_Toc113958531"/>
      <w:bookmarkStart w:id="974" w:name="_Ref4429473"/>
      <w:bookmarkStart w:id="975" w:name="_Ref532688354"/>
      <w:bookmarkStart w:id="976" w:name="_Ref532688351"/>
      <w:r>
        <w:rPr>
          <w:rFonts w:hint="eastAsia" w:asciiTheme="minorEastAsia" w:hAnsiTheme="minorEastAsia" w:eastAsiaTheme="minorEastAsia" w:cstheme="minorEastAsia"/>
          <w:b w:val="0"/>
          <w:bCs/>
          <w:sz w:val="21"/>
          <w:szCs w:val="21"/>
        </w:rPr>
        <w:t>10.3 工程的接收</w:t>
      </w:r>
      <w:bookmarkEnd w:id="971"/>
      <w:bookmarkEnd w:id="972"/>
      <w:bookmarkEnd w:id="973"/>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10.3.1 根据工程项目的具体情况和特点，可按工程或单位/区段工程进行接收，并在专用合同条件约定接收的先后顺序、时间安排和其他要求。</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10.3.2 除按本条约定已经提交的资料外，接收工程时承包人需提交竣工验收资料的类别、内容、份数和提交时间，在专用合同条件中约定。</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10.3.3 发包人无正当理由不接收工程的，发包人自应当接收工程之日起，承担工程照管、成品保护、保管等与工程有关的各项费用，合同当事人可以在专用合同条件中另行约定发包人逾期接收工程的违约责任。</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10.3.4 承包人无正当理由不移交工程的，承包人应承担工程照管、成品保护、保管等与工程有关的各项费用，合同当事人可以在专用合同条件中另行约定承包人无正当理由不移交工程的违约责任。</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77" w:name="_Toc113958532"/>
      <w:bookmarkStart w:id="978" w:name="_Toc4674"/>
      <w:bookmarkStart w:id="979" w:name="_Toc54862267"/>
      <w:r>
        <w:rPr>
          <w:rFonts w:hint="eastAsia" w:asciiTheme="minorEastAsia" w:hAnsiTheme="minorEastAsia" w:eastAsiaTheme="minorEastAsia" w:cstheme="minorEastAsia"/>
          <w:b w:val="0"/>
          <w:bCs/>
          <w:sz w:val="21"/>
          <w:szCs w:val="21"/>
        </w:rPr>
        <w:t>10.4 接收证书</w:t>
      </w:r>
      <w:bookmarkEnd w:id="974"/>
      <w:bookmarkEnd w:id="977"/>
      <w:bookmarkEnd w:id="978"/>
      <w:bookmarkEnd w:id="979"/>
    </w:p>
    <w:p>
      <w:pPr>
        <w:pStyle w:val="87"/>
        <w:spacing w:afterLines="0"/>
        <w:ind w:left="0" w:firstLine="420" w:firstLineChars="200"/>
        <w:rPr>
          <w:rFonts w:asciiTheme="minorEastAsia" w:hAnsiTheme="minorEastAsia" w:eastAsiaTheme="minorEastAsia" w:cstheme="minorEastAsia"/>
          <w:sz w:val="21"/>
        </w:rPr>
      </w:pPr>
      <w:bookmarkStart w:id="980" w:name="_Ref4429542"/>
      <w:r>
        <w:rPr>
          <w:rFonts w:hint="eastAsia" w:asciiTheme="minorEastAsia" w:hAnsiTheme="minorEastAsia" w:eastAsiaTheme="minorEastAsia" w:cstheme="minorEastAsia"/>
          <w:sz w:val="21"/>
        </w:rPr>
        <w:t>10.4.1 除专用合同条件另有约定外，承包人应在竣工验收合格后向发包人提交第14.6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bookmarkEnd w:id="980"/>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10.4.2 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10.4.3 竣工验收合格而发包人无正当理由逾期不颁发工程接收证书的，自验收合格后第15天起视为已颁发工程接收证书。</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10.4.4 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10.4.5 存在扫尾工作的，工程接收证书中应当将第14.5.3项[扫尾工作清单]中约定的扫尾工作清单作为工程接收证书附件。</w:t>
      </w:r>
    </w:p>
    <w:bookmarkEnd w:id="975"/>
    <w:bookmarkEnd w:id="976"/>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81" w:name="_Toc113958533"/>
      <w:bookmarkStart w:id="982" w:name="_Ref4429935"/>
      <w:bookmarkStart w:id="983" w:name="_Ref4429932"/>
      <w:bookmarkStart w:id="984" w:name="_Toc54862268"/>
      <w:bookmarkStart w:id="985" w:name="_Toc8402"/>
      <w:r>
        <w:rPr>
          <w:rFonts w:hint="eastAsia" w:asciiTheme="minorEastAsia" w:hAnsiTheme="minorEastAsia" w:eastAsiaTheme="minorEastAsia" w:cstheme="minorEastAsia"/>
          <w:b w:val="0"/>
          <w:bCs/>
          <w:sz w:val="21"/>
          <w:szCs w:val="21"/>
        </w:rPr>
        <w:t>10.5 竣工退场</w:t>
      </w:r>
      <w:bookmarkEnd w:id="981"/>
      <w:bookmarkEnd w:id="982"/>
      <w:bookmarkEnd w:id="983"/>
      <w:bookmarkEnd w:id="984"/>
      <w:bookmarkEnd w:id="985"/>
    </w:p>
    <w:p>
      <w:pPr>
        <w:pStyle w:val="87"/>
        <w:spacing w:afterLines="0"/>
        <w:ind w:left="0" w:firstLine="420" w:firstLineChars="200"/>
        <w:rPr>
          <w:rFonts w:asciiTheme="minorEastAsia" w:hAnsiTheme="minorEastAsia" w:eastAsiaTheme="minorEastAsia" w:cstheme="minorEastAsia"/>
          <w:sz w:val="21"/>
        </w:rPr>
      </w:pPr>
      <w:bookmarkStart w:id="986" w:name="_Ref4429943"/>
      <w:r>
        <w:rPr>
          <w:rFonts w:hint="eastAsia" w:asciiTheme="minorEastAsia" w:hAnsiTheme="minorEastAsia" w:eastAsiaTheme="minorEastAsia" w:cstheme="minorEastAsia"/>
          <w:sz w:val="21"/>
        </w:rPr>
        <w:t>10.5.1 竣工退场</w:t>
      </w:r>
      <w:bookmarkEnd w:id="98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颁发工程接收证书后，承包人应对施工现场进行清理，并撤离相关人员，使得施工现场处于以下状态，直至工程师检验合格为止：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施工现场内残留的垃圾已全部清除出场；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临时工程已拆除，场地已按合同约定进行清理、平整或复原；</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按合同约定应撤离的人员、承包人提供的施工设备和剩余的材料，包括废弃的施工设备和材料，已按计划撤离施工现场；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施工现场周边及其附近道路、河道的施工堆积物，已全部清理；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施工现场其他竣工退场工作已全部完成。</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10.5.2 地表还原</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承包人应按合同约定和工程师的要求恢复临时占地及清理场地，否则发包人有权委托其他人恢复或清理，所发生的费用由承包人承担。</w:t>
      </w:r>
    </w:p>
    <w:p>
      <w:pPr>
        <w:pStyle w:val="87"/>
        <w:spacing w:afterLines="0"/>
        <w:ind w:left="0" w:firstLine="420" w:firstLineChars="200"/>
        <w:rPr>
          <w:rFonts w:asciiTheme="minorEastAsia" w:hAnsiTheme="minorEastAsia" w:eastAsiaTheme="minorEastAsia" w:cstheme="minorEastAsia"/>
          <w:sz w:val="21"/>
        </w:rPr>
      </w:pPr>
      <w:bookmarkStart w:id="987" w:name="_Ref20159437"/>
      <w:r>
        <w:rPr>
          <w:rFonts w:hint="eastAsia" w:asciiTheme="minorEastAsia" w:hAnsiTheme="minorEastAsia" w:eastAsiaTheme="minorEastAsia" w:cstheme="minorEastAsia"/>
          <w:sz w:val="21"/>
        </w:rPr>
        <w:t>10.5.3 人员撤离</w:t>
      </w:r>
      <w:bookmarkEnd w:id="98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bookmarkEnd w:id="829"/>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988" w:name="_Ref531955009"/>
      <w:bookmarkStart w:id="989" w:name="_Toc780"/>
      <w:bookmarkStart w:id="990" w:name="_Toc54862269"/>
      <w:bookmarkStart w:id="991" w:name="_Ref4796906"/>
      <w:bookmarkStart w:id="992" w:name="_Toc113958534"/>
      <w:bookmarkStart w:id="993" w:name="_Ref4796909"/>
      <w:r>
        <w:rPr>
          <w:rFonts w:hint="eastAsia" w:asciiTheme="minorEastAsia" w:hAnsiTheme="minorEastAsia" w:eastAsiaTheme="minorEastAsia" w:cstheme="minorEastAsia"/>
          <w:bCs/>
          <w:sz w:val="21"/>
          <w:szCs w:val="21"/>
        </w:rPr>
        <w:t>第11条 缺陷责任与保修</w:t>
      </w:r>
      <w:bookmarkEnd w:id="988"/>
      <w:bookmarkEnd w:id="989"/>
      <w:bookmarkEnd w:id="990"/>
      <w:bookmarkEnd w:id="991"/>
      <w:bookmarkEnd w:id="992"/>
      <w:bookmarkEnd w:id="993"/>
      <w:r>
        <w:rPr>
          <w:rFonts w:hint="eastAsia" w:asciiTheme="minorEastAsia" w:hAnsiTheme="minorEastAsia" w:eastAsiaTheme="minorEastAsia" w:cstheme="minorEastAsia"/>
          <w:bCs/>
          <w:sz w:val="21"/>
          <w:szCs w:val="21"/>
        </w:rPr>
        <w:t xml:space="preserve"> </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994" w:name="_Toc26572"/>
      <w:bookmarkStart w:id="995" w:name="_Toc113958535"/>
      <w:bookmarkStart w:id="996" w:name="_Toc54862270"/>
      <w:bookmarkStart w:id="997" w:name="_Ref531955245"/>
      <w:bookmarkStart w:id="998" w:name="_Ref531955248"/>
      <w:bookmarkStart w:id="999" w:name="_Ref532362928"/>
      <w:bookmarkStart w:id="1000" w:name="_Toc296346648"/>
      <w:bookmarkStart w:id="1001" w:name="_Toc337558841"/>
      <w:bookmarkStart w:id="1002" w:name="_Toc296503147"/>
      <w:r>
        <w:rPr>
          <w:rFonts w:hint="eastAsia" w:asciiTheme="minorEastAsia" w:hAnsiTheme="minorEastAsia" w:eastAsiaTheme="minorEastAsia" w:cstheme="minorEastAsia"/>
          <w:b w:val="0"/>
          <w:bCs/>
          <w:sz w:val="21"/>
          <w:szCs w:val="21"/>
        </w:rPr>
        <w:t>11.1 工程保修的原则</w:t>
      </w:r>
      <w:bookmarkEnd w:id="994"/>
      <w:bookmarkEnd w:id="995"/>
      <w:bookmarkEnd w:id="99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在工程移交发包人后，因承包人原因产生的质量缺陷，承包人应承担质量缺陷责任和保修义务。缺陷责任期届满，承包人仍应按合同约定的工程各部位保修年限承担保修义务。</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03" w:name="_Toc14261"/>
      <w:bookmarkStart w:id="1004" w:name="_Toc54862271"/>
      <w:bookmarkStart w:id="1005" w:name="_Ref4430062"/>
      <w:bookmarkStart w:id="1006" w:name="_Toc113958536"/>
      <w:r>
        <w:rPr>
          <w:rFonts w:hint="eastAsia" w:asciiTheme="minorEastAsia" w:hAnsiTheme="minorEastAsia" w:eastAsiaTheme="minorEastAsia" w:cstheme="minorEastAsia"/>
          <w:b w:val="0"/>
          <w:bCs/>
          <w:sz w:val="21"/>
          <w:szCs w:val="21"/>
        </w:rPr>
        <w:t>11.2 缺陷责任</w:t>
      </w:r>
      <w:bookmarkEnd w:id="997"/>
      <w:bookmarkEnd w:id="998"/>
      <w:r>
        <w:rPr>
          <w:rFonts w:hint="eastAsia" w:asciiTheme="minorEastAsia" w:hAnsiTheme="minorEastAsia" w:eastAsiaTheme="minorEastAsia" w:cstheme="minorEastAsia"/>
          <w:b w:val="0"/>
          <w:bCs/>
          <w:sz w:val="21"/>
          <w:szCs w:val="21"/>
        </w:rPr>
        <w:t>期</w:t>
      </w:r>
      <w:bookmarkEnd w:id="999"/>
      <w:bookmarkEnd w:id="1003"/>
      <w:bookmarkEnd w:id="1004"/>
      <w:bookmarkEnd w:id="1005"/>
      <w:bookmarkEnd w:id="1006"/>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缺陷责任期原则上从工程竣工验收合格之日起计算，合同当事人应在专用合同条件约定缺陷责任期的具体期限，但该期限最长不超过24个月。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07" w:name="_Ref532662486"/>
      <w:bookmarkStart w:id="1008" w:name="_Toc11314"/>
      <w:bookmarkStart w:id="1009" w:name="_Toc113958537"/>
      <w:bookmarkStart w:id="1010" w:name="_Ref532662491"/>
      <w:bookmarkStart w:id="1011" w:name="_Toc54862272"/>
      <w:r>
        <w:rPr>
          <w:rFonts w:hint="eastAsia" w:asciiTheme="minorEastAsia" w:hAnsiTheme="minorEastAsia" w:eastAsiaTheme="minorEastAsia" w:cstheme="minorEastAsia"/>
          <w:b w:val="0"/>
          <w:bCs/>
          <w:sz w:val="21"/>
          <w:szCs w:val="21"/>
        </w:rPr>
        <w:t>11.3 缺陷调查</w:t>
      </w:r>
      <w:bookmarkEnd w:id="1007"/>
      <w:bookmarkEnd w:id="1008"/>
      <w:bookmarkEnd w:id="1009"/>
      <w:bookmarkEnd w:id="1010"/>
      <w:bookmarkEnd w:id="1011"/>
    </w:p>
    <w:p>
      <w:pPr>
        <w:pStyle w:val="87"/>
        <w:spacing w:afterLines="0"/>
        <w:ind w:left="0" w:firstLine="420" w:firstLineChars="200"/>
        <w:rPr>
          <w:rFonts w:asciiTheme="minorEastAsia" w:hAnsiTheme="minorEastAsia" w:eastAsiaTheme="minorEastAsia" w:cstheme="minorEastAsia"/>
          <w:b/>
          <w:sz w:val="21"/>
        </w:rPr>
      </w:pPr>
      <w:r>
        <w:rPr>
          <w:rFonts w:hint="eastAsia" w:asciiTheme="minorEastAsia" w:hAnsiTheme="minorEastAsia" w:eastAsiaTheme="minorEastAsia" w:cstheme="minorEastAsia"/>
          <w:sz w:val="21"/>
        </w:rPr>
        <w:t>11.3.1 承包人缺陷调查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11.3.2 缺陷责任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11.3.3 修复费用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发包人和承包人应共同查清缺陷或损坏的原因。经查明属承包人原因造成的，应由承包人承担修复的费用。经查验非承包人原因造成的，发包人应承担修复的费用，并支付承包人合理利润。</w:t>
      </w:r>
    </w:p>
    <w:p>
      <w:pPr>
        <w:pStyle w:val="87"/>
        <w:spacing w:afterLines="0"/>
        <w:ind w:left="0" w:firstLine="420" w:firstLineChars="200"/>
        <w:rPr>
          <w:rFonts w:asciiTheme="minorEastAsia" w:hAnsiTheme="minorEastAsia" w:eastAsiaTheme="minorEastAsia" w:cstheme="minorEastAsia"/>
          <w:sz w:val="21"/>
        </w:rPr>
      </w:pPr>
      <w:bookmarkStart w:id="1012" w:name="_Ref531955041"/>
      <w:r>
        <w:rPr>
          <w:rFonts w:hint="eastAsia" w:asciiTheme="minorEastAsia" w:hAnsiTheme="minorEastAsia" w:eastAsiaTheme="minorEastAsia" w:cstheme="minorEastAsia"/>
          <w:sz w:val="21"/>
        </w:rPr>
        <w:t>11.3.4 修复通知</w:t>
      </w:r>
      <w:bookmarkEnd w:id="101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11.3.5 在现场外修复</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87"/>
        <w:spacing w:afterLines="0"/>
        <w:ind w:left="0" w:firstLine="420" w:firstLineChars="200"/>
        <w:rPr>
          <w:rFonts w:asciiTheme="minorEastAsia" w:hAnsiTheme="minorEastAsia" w:eastAsiaTheme="minorEastAsia" w:cstheme="minorEastAsia"/>
          <w:sz w:val="21"/>
        </w:rPr>
      </w:pPr>
      <w:bookmarkStart w:id="1013" w:name="_Ref4534291"/>
      <w:bookmarkStart w:id="1014" w:name="_Hlk51506786"/>
      <w:r>
        <w:rPr>
          <w:rFonts w:hint="eastAsia" w:asciiTheme="minorEastAsia" w:hAnsiTheme="minorEastAsia" w:eastAsiaTheme="minorEastAsia" w:cstheme="minorEastAsia"/>
          <w:sz w:val="21"/>
        </w:rPr>
        <w:t>11.3.6 未能修复</w:t>
      </w:r>
      <w:bookmarkEnd w:id="1013"/>
    </w:p>
    <w:bookmarkEnd w:id="1014"/>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如果工程或工程设备的缺陷或损害使发包人实质上失去了工程的整体功能，发包人有权向承包人追回已支付的工程款项，并要求其赔偿发包人相应损失。</w:t>
      </w:r>
    </w:p>
    <w:bookmarkEnd w:id="1000"/>
    <w:bookmarkEnd w:id="1001"/>
    <w:bookmarkEnd w:id="1002"/>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15" w:name="_Toc54862273"/>
      <w:bookmarkStart w:id="1016" w:name="_Toc17920"/>
      <w:bookmarkStart w:id="1017" w:name="_Toc113958538"/>
      <w:bookmarkStart w:id="1018" w:name="_Ref532662554"/>
      <w:bookmarkStart w:id="1019" w:name="_Ref532662552"/>
      <w:r>
        <w:rPr>
          <w:rFonts w:hint="eastAsia" w:asciiTheme="minorEastAsia" w:hAnsiTheme="minorEastAsia" w:eastAsiaTheme="minorEastAsia" w:cstheme="minorEastAsia"/>
          <w:b w:val="0"/>
          <w:bCs/>
          <w:sz w:val="21"/>
          <w:szCs w:val="21"/>
        </w:rPr>
        <w:t>11.4 缺陷修复后的进一步试验</w:t>
      </w:r>
      <w:bookmarkEnd w:id="1015"/>
      <w:bookmarkEnd w:id="1016"/>
      <w:bookmarkEnd w:id="1017"/>
      <w:bookmarkEnd w:id="1018"/>
      <w:bookmarkEnd w:id="101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一项缺陷修补后的7天内，承包人应向发包人发出通知，告知已修补的情况。如根据第9条[竣工试验]或第12条[竣工后试验]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所有的重复试验应按照适用于先前试验的条款进行，但应由责任方承担修补工作的成本和重新试验的风险和费用。</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20" w:name="_Toc54862274"/>
      <w:bookmarkStart w:id="1021" w:name="_Toc113958539"/>
      <w:bookmarkStart w:id="1022" w:name="_Toc26352"/>
      <w:r>
        <w:rPr>
          <w:rFonts w:hint="eastAsia" w:asciiTheme="minorEastAsia" w:hAnsiTheme="minorEastAsia" w:eastAsiaTheme="minorEastAsia" w:cstheme="minorEastAsia"/>
          <w:b w:val="0"/>
          <w:bCs/>
          <w:sz w:val="21"/>
          <w:szCs w:val="21"/>
        </w:rPr>
        <w:t>11.5 承包人出入权</w:t>
      </w:r>
      <w:bookmarkEnd w:id="1020"/>
      <w:bookmarkEnd w:id="1021"/>
      <w:bookmarkEnd w:id="102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23" w:name="_Ref4430229"/>
      <w:bookmarkStart w:id="1024" w:name="_Ref4430223"/>
      <w:bookmarkStart w:id="1025" w:name="_Toc113958540"/>
      <w:bookmarkStart w:id="1026" w:name="_Toc54862275"/>
      <w:bookmarkStart w:id="1027" w:name="_Toc31875"/>
      <w:r>
        <w:rPr>
          <w:rFonts w:hint="eastAsia" w:asciiTheme="minorEastAsia" w:hAnsiTheme="minorEastAsia" w:eastAsiaTheme="minorEastAsia" w:cstheme="minorEastAsia"/>
          <w:b w:val="0"/>
          <w:bCs/>
          <w:sz w:val="21"/>
          <w:szCs w:val="21"/>
        </w:rPr>
        <w:t>11.6 缺陷责任期终止证书</w:t>
      </w:r>
      <w:bookmarkEnd w:id="1023"/>
      <w:bookmarkEnd w:id="1024"/>
      <w:bookmarkEnd w:id="1025"/>
      <w:bookmarkEnd w:id="1026"/>
      <w:bookmarkEnd w:id="102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w:t>
      </w:r>
      <w:bookmarkStart w:id="1028" w:name="_Hlk4686672"/>
      <w:r>
        <w:rPr>
          <w:rFonts w:hint="eastAsia" w:asciiTheme="minorEastAsia" w:hAnsiTheme="minorEastAsia" w:eastAsiaTheme="minorEastAsia" w:cstheme="minorEastAsia"/>
          <w:sz w:val="21"/>
          <w:szCs w:val="21"/>
        </w:rPr>
        <w:t>承包人应于缺陷责任期届满前7天内向发包人发出缺陷责任期即将届满通知，发包人应在收到通知后7天内核实承包人是否履行缺陷修复义务，承包人未能履行缺陷修复义务的，发包人有权扣除相应金额的维修费用。发包人应在缺陷责任期届满之日，向承包人颁发缺陷责任期终止证书，并按第14.6.3项[质量保证金的返还]返还质量保证金。</w:t>
      </w:r>
      <w:bookmarkEnd w:id="102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如根据第10.5.3项[人员撤离]承包人在施工现场还留有人员、施工设备和临时工程的，承包人应当在收到缺陷责任期终止证书后28天内，将上述人员、施工设备和临时工程撤离施工现场。</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29" w:name="_Toc113958541"/>
      <w:bookmarkStart w:id="1030" w:name="_Toc54862276"/>
      <w:bookmarkStart w:id="1031" w:name="_Ref4430272"/>
      <w:bookmarkStart w:id="1032" w:name="_Toc18516"/>
      <w:r>
        <w:rPr>
          <w:rFonts w:hint="eastAsia" w:asciiTheme="minorEastAsia" w:hAnsiTheme="minorEastAsia" w:eastAsiaTheme="minorEastAsia" w:cstheme="minorEastAsia"/>
          <w:b w:val="0"/>
          <w:bCs/>
          <w:sz w:val="21"/>
          <w:szCs w:val="21"/>
        </w:rPr>
        <w:t>11.7 保修责任</w:t>
      </w:r>
      <w:bookmarkEnd w:id="1029"/>
      <w:bookmarkEnd w:id="1030"/>
      <w:bookmarkEnd w:id="1031"/>
      <w:bookmarkEnd w:id="103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因承包人原因导致的质量缺陷责任，由合同当事人根据有关法律规定，在专用合同条件和工程质量保修书中约定工程质量保修范围、期限和责任。</w:t>
      </w:r>
      <w:bookmarkEnd w:id="815"/>
      <w:bookmarkStart w:id="1033" w:name="_Ref531957860"/>
      <w:bookmarkStart w:id="1034" w:name="_Ref531958289"/>
    </w:p>
    <w:bookmarkEnd w:id="1033"/>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1035" w:name="_Toc113958542"/>
      <w:bookmarkStart w:id="1036" w:name="_Ref4621057"/>
      <w:bookmarkStart w:id="1037" w:name="_Toc7728"/>
      <w:bookmarkStart w:id="1038" w:name="_Ref4621065"/>
      <w:bookmarkStart w:id="1039" w:name="_Toc54862277"/>
      <w:bookmarkStart w:id="1040" w:name="_Ref4796955"/>
      <w:bookmarkStart w:id="1041" w:name="_Ref4796958"/>
      <w:r>
        <w:rPr>
          <w:rFonts w:hint="eastAsia" w:asciiTheme="minorEastAsia" w:hAnsiTheme="minorEastAsia" w:eastAsiaTheme="minorEastAsia" w:cstheme="minorEastAsia"/>
          <w:bCs/>
          <w:sz w:val="21"/>
          <w:szCs w:val="21"/>
        </w:rPr>
        <w:t>第12条 竣工后试验</w:t>
      </w:r>
      <w:bookmarkEnd w:id="1035"/>
      <w:bookmarkEnd w:id="1036"/>
      <w:bookmarkEnd w:id="1037"/>
      <w:bookmarkEnd w:id="1038"/>
      <w:bookmarkEnd w:id="103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本合同工程包含竣工后试验的，遵守本条约定。</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42" w:name="_Ref531954601"/>
      <w:bookmarkStart w:id="1043" w:name="_Ref531954604"/>
      <w:bookmarkStart w:id="1044" w:name="_Ref531954694"/>
      <w:bookmarkStart w:id="1045" w:name="_Toc5087"/>
      <w:bookmarkStart w:id="1046" w:name="_Toc113958543"/>
      <w:bookmarkStart w:id="1047" w:name="_Toc54862278"/>
      <w:bookmarkStart w:id="1048" w:name="_Hlk522259976"/>
      <w:r>
        <w:rPr>
          <w:rFonts w:hint="eastAsia" w:asciiTheme="minorEastAsia" w:hAnsiTheme="minorEastAsia" w:eastAsiaTheme="minorEastAsia" w:cstheme="minorEastAsia"/>
          <w:b w:val="0"/>
          <w:bCs/>
          <w:sz w:val="21"/>
          <w:szCs w:val="21"/>
        </w:rPr>
        <w:t>12.1 竣工后试验</w:t>
      </w:r>
      <w:bookmarkEnd w:id="1042"/>
      <w:bookmarkEnd w:id="1043"/>
      <w:r>
        <w:rPr>
          <w:rFonts w:hint="eastAsia" w:asciiTheme="minorEastAsia" w:hAnsiTheme="minorEastAsia" w:eastAsiaTheme="minorEastAsia" w:cstheme="minorEastAsia"/>
          <w:b w:val="0"/>
          <w:bCs/>
          <w:sz w:val="21"/>
          <w:szCs w:val="21"/>
        </w:rPr>
        <w:t>的程序</w:t>
      </w:r>
      <w:bookmarkEnd w:id="1044"/>
      <w:bookmarkEnd w:id="1045"/>
      <w:bookmarkEnd w:id="1046"/>
      <w:bookmarkEnd w:id="1047"/>
    </w:p>
    <w:p>
      <w:pPr>
        <w:pStyle w:val="87"/>
        <w:spacing w:afterLines="0"/>
        <w:ind w:left="0" w:firstLine="420" w:firstLineChars="200"/>
        <w:rPr>
          <w:rFonts w:asciiTheme="minorEastAsia" w:hAnsiTheme="minorEastAsia" w:eastAsiaTheme="minorEastAsia" w:cstheme="minorEastAsia"/>
          <w:sz w:val="21"/>
        </w:rPr>
      </w:pPr>
      <w:bookmarkStart w:id="1049" w:name="_Ref11920184"/>
      <w:r>
        <w:rPr>
          <w:rFonts w:hint="eastAsia" w:asciiTheme="minorEastAsia" w:hAnsiTheme="minorEastAsia" w:eastAsiaTheme="minorEastAsia" w:cstheme="minorEastAsia"/>
          <w:sz w:val="21"/>
        </w:rPr>
        <w:t>12.1.1 工程或区段工程被发包人接收后，在合理可行的情况下应根据合同约定尽早进行竣工后试验。</w:t>
      </w:r>
      <w:bookmarkEnd w:id="1049"/>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12.1.2 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87"/>
        <w:spacing w:afterLines="0"/>
        <w:ind w:left="0" w:firstLine="420" w:firstLineChars="200"/>
        <w:rPr>
          <w:rFonts w:asciiTheme="minorEastAsia" w:hAnsiTheme="minorEastAsia" w:eastAsiaTheme="minorEastAsia" w:cstheme="minorEastAsia"/>
          <w:sz w:val="21"/>
        </w:rPr>
      </w:pPr>
      <w:bookmarkStart w:id="1050" w:name="_Ref11920162"/>
      <w:r>
        <w:rPr>
          <w:rFonts w:hint="eastAsia" w:asciiTheme="minorEastAsia" w:hAnsiTheme="minorEastAsia" w:eastAsiaTheme="minorEastAsia" w:cstheme="minorEastAsia"/>
          <w:sz w:val="21"/>
        </w:rPr>
        <w:t>12.1.3 除《发包人要求》另有约定外，发包人应在合理可行的情况下尽快进行每项竣工后试验，并至少提前21天将该项竣工后试验的内容、地点和时间，以及显示其他竣工后试验拟开展时间的竣工后试验计划通知承包人。</w:t>
      </w:r>
      <w:bookmarkEnd w:id="1050"/>
    </w:p>
    <w:p>
      <w:pPr>
        <w:pStyle w:val="87"/>
        <w:spacing w:afterLines="0"/>
        <w:ind w:left="0" w:firstLine="420" w:firstLineChars="200"/>
        <w:rPr>
          <w:rFonts w:asciiTheme="minorEastAsia" w:hAnsiTheme="minorEastAsia" w:eastAsiaTheme="minorEastAsia" w:cstheme="minorEastAsia"/>
          <w:sz w:val="21"/>
        </w:rPr>
      </w:pPr>
      <w:bookmarkStart w:id="1051" w:name="_Ref11920146"/>
      <w:r>
        <w:rPr>
          <w:rFonts w:hint="eastAsia" w:asciiTheme="minorEastAsia" w:hAnsiTheme="minorEastAsia" w:eastAsiaTheme="minorEastAsia" w:cstheme="minorEastAsia"/>
          <w:sz w:val="21"/>
        </w:rPr>
        <w:t>12.1.4 发包人应根据《发包人要求》、承包人按照第5.5款</w:t>
      </w:r>
      <w:bookmarkStart w:id="1052" w:name="_Hlk18943978"/>
      <w:r>
        <w:rPr>
          <w:rFonts w:hint="eastAsia" w:asciiTheme="minorEastAsia" w:hAnsiTheme="minorEastAsia" w:eastAsiaTheme="minorEastAsia" w:cstheme="minorEastAsia"/>
          <w:sz w:val="21"/>
        </w:rPr>
        <w:t>[操作和维修手册]</w:t>
      </w:r>
      <w:bookmarkEnd w:id="1052"/>
      <w:r>
        <w:rPr>
          <w:rFonts w:hint="eastAsia" w:asciiTheme="minorEastAsia" w:hAnsiTheme="minorEastAsia" w:eastAsiaTheme="minorEastAsia" w:cstheme="minorEastAsia"/>
          <w:sz w:val="21"/>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bookmarkEnd w:id="1051"/>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12.1.5 竣工后试验的结果应由双方进行整理和评价，并应适当考虑发包人对工程或其任何部分的使用，对工程或区段工程的性能、特性和试验结果产生的影响。</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53" w:name="_Toc113958544"/>
      <w:bookmarkStart w:id="1054" w:name="_Ref531954785"/>
      <w:bookmarkStart w:id="1055" w:name="_Toc9081"/>
      <w:bookmarkStart w:id="1056" w:name="_Toc54862279"/>
      <w:bookmarkStart w:id="1057" w:name="_Ref531954781"/>
      <w:r>
        <w:rPr>
          <w:rFonts w:hint="eastAsia" w:asciiTheme="minorEastAsia" w:hAnsiTheme="minorEastAsia" w:eastAsiaTheme="minorEastAsia" w:cstheme="minorEastAsia"/>
          <w:b w:val="0"/>
          <w:bCs/>
          <w:sz w:val="21"/>
          <w:szCs w:val="21"/>
        </w:rPr>
        <w:t>12.2 延误的试验</w:t>
      </w:r>
      <w:bookmarkEnd w:id="1053"/>
      <w:bookmarkEnd w:id="1054"/>
      <w:bookmarkEnd w:id="1055"/>
      <w:bookmarkEnd w:id="1056"/>
      <w:bookmarkEnd w:id="1057"/>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12.2.1 如果竣工后试验因发包人原因被延误的，发包人应承担承包人由此增加的费用并支付承包人合理利润。</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12.2.2 如果因承包人以外的原因，导致竣工后试验未能在缺陷责任期或双方另行同意的其他期限内完成，则相关工程或区段工程应视为已通过该竣工后试验。</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58" w:name="_Toc113958545"/>
      <w:bookmarkStart w:id="1059" w:name="_Toc54862280"/>
      <w:bookmarkStart w:id="1060" w:name="_Toc24422"/>
      <w:r>
        <w:rPr>
          <w:rFonts w:hint="eastAsia" w:asciiTheme="minorEastAsia" w:hAnsiTheme="minorEastAsia" w:eastAsiaTheme="minorEastAsia" w:cstheme="minorEastAsia"/>
          <w:b w:val="0"/>
          <w:bCs/>
          <w:sz w:val="21"/>
          <w:szCs w:val="21"/>
        </w:rPr>
        <w:t>12.3 重新试验</w:t>
      </w:r>
      <w:bookmarkEnd w:id="1058"/>
      <w:bookmarkEnd w:id="1059"/>
      <w:bookmarkEnd w:id="106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工程或区段工程未能通过竣工后试验，则承包人应根据第11.3款[缺陷调查]的规定修补缺陷，以达到合同约定的要求；并按照第11.4款[缺陷修复后的进一步试验]重新进行竣工后试验以及承担风险和费用。如未通过试验和重新试验是承包人原因造成的，则承包人还应承担发包人因此增加的费用。</w:t>
      </w:r>
    </w:p>
    <w:bookmarkEnd w:id="1048"/>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61" w:name="_Toc54862281"/>
      <w:bookmarkStart w:id="1062" w:name="_Toc30050"/>
      <w:bookmarkStart w:id="1063" w:name="_Ref531954819"/>
      <w:bookmarkStart w:id="1064" w:name="_Toc113958546"/>
      <w:bookmarkStart w:id="1065" w:name="_Ref531954811"/>
      <w:r>
        <w:rPr>
          <w:rFonts w:hint="eastAsia" w:asciiTheme="minorEastAsia" w:hAnsiTheme="minorEastAsia" w:eastAsiaTheme="minorEastAsia" w:cstheme="minorEastAsia"/>
          <w:b w:val="0"/>
          <w:bCs/>
          <w:sz w:val="21"/>
          <w:szCs w:val="21"/>
        </w:rPr>
        <w:t>12.4 未能通过竣工后试验</w:t>
      </w:r>
      <w:bookmarkEnd w:id="1061"/>
      <w:bookmarkEnd w:id="1062"/>
      <w:bookmarkEnd w:id="1063"/>
      <w:bookmarkEnd w:id="1064"/>
      <w:bookmarkEnd w:id="1065"/>
    </w:p>
    <w:p>
      <w:pPr>
        <w:pStyle w:val="87"/>
        <w:spacing w:afterLines="0"/>
        <w:ind w:left="0" w:firstLine="420" w:firstLineChars="200"/>
        <w:rPr>
          <w:rFonts w:asciiTheme="minorEastAsia" w:hAnsiTheme="minorEastAsia" w:eastAsiaTheme="minorEastAsia" w:cstheme="minorEastAsia"/>
          <w:sz w:val="21"/>
        </w:rPr>
      </w:pPr>
      <w:bookmarkStart w:id="1066" w:name="_Ref531954829"/>
      <w:r>
        <w:rPr>
          <w:rFonts w:hint="eastAsia" w:asciiTheme="minorEastAsia" w:hAnsiTheme="minorEastAsia" w:eastAsiaTheme="minorEastAsia" w:cstheme="minorEastAsia"/>
          <w:sz w:val="21"/>
        </w:rPr>
        <w:t>12.4.1 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bookmarkEnd w:id="1066"/>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12.4.2 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12.4.3 发包人无故拖延给予承包人进行调查、调整或修补所需的进入工程或区段工程的许可，并造成承包人费用增加的，应承担由此增加的费用并支付承包人合理利润。</w:t>
      </w:r>
    </w:p>
    <w:p>
      <w:pPr>
        <w:pStyle w:val="85"/>
        <w:numPr>
          <w:ilvl w:val="0"/>
          <w:numId w:val="0"/>
        </w:numPr>
        <w:adjustRightInd w:val="0"/>
        <w:snapToGrid w:val="0"/>
        <w:ind w:firstLine="420" w:firstLineChars="200"/>
        <w:rPr>
          <w:rFonts w:asciiTheme="minorEastAsia" w:hAnsiTheme="minorEastAsia" w:eastAsiaTheme="minorEastAsia" w:cstheme="minorEastAsia"/>
          <w:bCs/>
          <w:sz w:val="21"/>
          <w:szCs w:val="21"/>
        </w:rPr>
      </w:pPr>
      <w:bookmarkStart w:id="1067" w:name="_Toc30807"/>
      <w:bookmarkStart w:id="1068" w:name="_Toc113958547"/>
      <w:bookmarkStart w:id="1069" w:name="_Ref4415801"/>
      <w:bookmarkStart w:id="1070" w:name="_Toc54862282"/>
      <w:r>
        <w:rPr>
          <w:rFonts w:hint="eastAsia" w:asciiTheme="minorEastAsia" w:hAnsiTheme="minorEastAsia" w:eastAsiaTheme="minorEastAsia" w:cstheme="minorEastAsia"/>
          <w:bCs/>
          <w:sz w:val="21"/>
          <w:szCs w:val="21"/>
        </w:rPr>
        <w:t>第13条 变更与调整</w:t>
      </w:r>
      <w:bookmarkEnd w:id="1067"/>
      <w:bookmarkEnd w:id="1068"/>
      <w:bookmarkEnd w:id="1069"/>
      <w:bookmarkEnd w:id="1070"/>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71" w:name="_Ref532668573"/>
      <w:bookmarkStart w:id="1072" w:name="_Ref532670393"/>
      <w:bookmarkStart w:id="1073" w:name="_Ref532677084"/>
      <w:bookmarkStart w:id="1074" w:name="_Toc31280"/>
      <w:bookmarkStart w:id="1075" w:name="_Toc113958548"/>
      <w:bookmarkStart w:id="1076" w:name="_Ref532677087"/>
      <w:bookmarkStart w:id="1077" w:name="_Toc54862283"/>
      <w:bookmarkStart w:id="1078" w:name="_Ref532670395"/>
      <w:bookmarkStart w:id="1079" w:name="_Ref532668569"/>
      <w:r>
        <w:rPr>
          <w:rFonts w:hint="eastAsia" w:asciiTheme="minorEastAsia" w:hAnsiTheme="minorEastAsia" w:eastAsiaTheme="minorEastAsia" w:cstheme="minorEastAsia"/>
          <w:b w:val="0"/>
          <w:bCs/>
          <w:sz w:val="21"/>
          <w:szCs w:val="21"/>
        </w:rPr>
        <w:t>13.1 发包人变更权</w:t>
      </w:r>
      <w:bookmarkEnd w:id="1071"/>
      <w:bookmarkEnd w:id="1072"/>
      <w:bookmarkEnd w:id="1073"/>
      <w:bookmarkEnd w:id="1074"/>
      <w:bookmarkEnd w:id="1075"/>
      <w:bookmarkEnd w:id="1076"/>
      <w:bookmarkEnd w:id="1077"/>
      <w:bookmarkEnd w:id="1078"/>
      <w:bookmarkEnd w:id="1079"/>
      <w:r>
        <w:rPr>
          <w:rFonts w:hint="eastAsia" w:asciiTheme="minorEastAsia" w:hAnsiTheme="minorEastAsia" w:eastAsiaTheme="minorEastAsia" w:cstheme="minorEastAsia"/>
          <w:b w:val="0"/>
          <w:bCs/>
          <w:sz w:val="21"/>
          <w:szCs w:val="21"/>
        </w:rPr>
        <w:t xml:space="preserve"> </w:t>
      </w:r>
    </w:p>
    <w:p>
      <w:pPr>
        <w:pStyle w:val="87"/>
        <w:spacing w:afterLines="0"/>
        <w:ind w:left="0" w:firstLine="420" w:firstLineChars="200"/>
        <w:rPr>
          <w:rFonts w:asciiTheme="minorEastAsia" w:hAnsiTheme="minorEastAsia" w:eastAsiaTheme="minorEastAsia" w:cstheme="minorEastAsia"/>
          <w:sz w:val="21"/>
        </w:rPr>
      </w:pPr>
      <w:bookmarkStart w:id="1080" w:name="_Ref4534979"/>
      <w:r>
        <w:rPr>
          <w:rFonts w:hint="eastAsia" w:asciiTheme="minorEastAsia" w:hAnsiTheme="minorEastAsia" w:eastAsiaTheme="minorEastAsia" w:cstheme="minorEastAsia"/>
          <w:sz w:val="21"/>
        </w:rPr>
        <w:t>13.1.1 变更指示应经发包人同意，并由工程师发出经发包人签认的变更指示。除第11.3.6项[未能修复]约定的情况外，变更不应包括准备将任何工作删减并交由他人或发包人自行实施的情况。承包人收到变更指示后，方可实施变更。未经许可，承包人不得擅自对工程的任何部分进行变更。</w:t>
      </w:r>
      <w:bookmarkEnd w:id="1080"/>
      <w:r>
        <w:rPr>
          <w:rFonts w:hint="eastAsia" w:asciiTheme="minorEastAsia" w:hAnsiTheme="minorEastAsia" w:eastAsiaTheme="minorEastAsia" w:cstheme="minorEastAsia"/>
          <w:sz w:val="21"/>
        </w:rPr>
        <w:t>发包人与承包人对某项指示或批准是否构成变更产生争议的，按第20条[争议解决]处理。</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13.1.2 承包人应按照变更指示执行，除非承包人及时向工程师发出通知，说明该项变更指示将降低工程的安全性、稳定性或适用性；涉及的工作内容和范围不可预见；所涉设备难以采购；导致承包人无法执行第7.5款[现场劳动用工]、第7.6款[安全文明施工]、第7.7款[职业健康]或第7.8款[环境保护]内容；将造成工期延误；与第4.1款[承包人的一般义务]相冲突等无法执行的理由。工程师接到承包人的通知后，应作出经发包人签认的取消、确认或改变原指示的书面回复。</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81" w:name="_Ref531955590"/>
      <w:bookmarkStart w:id="1082" w:name="_Ref531955587"/>
      <w:bookmarkStart w:id="1083" w:name="_Ref4623207"/>
      <w:bookmarkStart w:id="1084" w:name="_Toc54862284"/>
      <w:bookmarkStart w:id="1085" w:name="_Toc2088"/>
      <w:bookmarkStart w:id="1086" w:name="_Toc113958549"/>
      <w:r>
        <w:rPr>
          <w:rFonts w:hint="eastAsia" w:asciiTheme="minorEastAsia" w:hAnsiTheme="minorEastAsia" w:eastAsiaTheme="minorEastAsia" w:cstheme="minorEastAsia"/>
          <w:b w:val="0"/>
          <w:bCs/>
          <w:sz w:val="21"/>
          <w:szCs w:val="21"/>
        </w:rPr>
        <w:t>13.2 承</w:t>
      </w:r>
      <w:bookmarkEnd w:id="1081"/>
      <w:bookmarkEnd w:id="1082"/>
      <w:r>
        <w:rPr>
          <w:rFonts w:hint="eastAsia" w:asciiTheme="minorEastAsia" w:hAnsiTheme="minorEastAsia" w:eastAsiaTheme="minorEastAsia" w:cstheme="minorEastAsia"/>
          <w:b w:val="0"/>
          <w:bCs/>
          <w:sz w:val="21"/>
          <w:szCs w:val="21"/>
        </w:rPr>
        <w:t>包人的合理化建议</w:t>
      </w:r>
      <w:bookmarkEnd w:id="1083"/>
      <w:bookmarkEnd w:id="1084"/>
      <w:bookmarkEnd w:id="1085"/>
      <w:bookmarkEnd w:id="1086"/>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13.2.1 承包人提出合理化建议的，应向工程师提交合理化建议说明，说明建议的内容、理由以及实施该建议对合同价格和工期的影响。</w:t>
      </w:r>
    </w:p>
    <w:p>
      <w:pPr>
        <w:pStyle w:val="87"/>
        <w:spacing w:afterLines="0"/>
        <w:ind w:left="0" w:firstLine="420" w:firstLineChars="200"/>
        <w:rPr>
          <w:rFonts w:asciiTheme="minorEastAsia" w:hAnsiTheme="minorEastAsia" w:eastAsiaTheme="minorEastAsia" w:cstheme="minorEastAsia"/>
          <w:sz w:val="21"/>
        </w:rPr>
      </w:pPr>
      <w:bookmarkStart w:id="1087" w:name="_Ref4681686"/>
      <w:r>
        <w:rPr>
          <w:rFonts w:hint="eastAsia" w:asciiTheme="minorEastAsia" w:hAnsiTheme="minorEastAsia" w:eastAsiaTheme="minorEastAsia" w:cstheme="minorEastAsia"/>
          <w:sz w:val="21"/>
        </w:rPr>
        <w:t>13.2.2 除专用合同条件另有约定外，</w:t>
      </w:r>
      <w:bookmarkStart w:id="1088" w:name="_Hlk4682273"/>
      <w:r>
        <w:rPr>
          <w:rFonts w:hint="eastAsia" w:asciiTheme="minorEastAsia" w:hAnsiTheme="minorEastAsia" w:eastAsiaTheme="minorEastAsia" w:cstheme="minorEastAsia"/>
          <w:sz w:val="21"/>
        </w:rPr>
        <w:t>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13.3.3项[变更估价]约定执行。发包人不同意变更的，工程师应书面通知承包人</w:t>
      </w:r>
      <w:bookmarkEnd w:id="1087"/>
      <w:r>
        <w:rPr>
          <w:rFonts w:hint="eastAsia" w:asciiTheme="minorEastAsia" w:hAnsiTheme="minorEastAsia" w:eastAsiaTheme="minorEastAsia" w:cstheme="minorEastAsia"/>
          <w:sz w:val="21"/>
        </w:rPr>
        <w:t>。</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13.2.3 合理化建议降低了合同价格、缩短了工期或者提高了工程经济效益的，双方可以按照专用合同条件的约定进行利益分享。</w:t>
      </w:r>
    </w:p>
    <w:bookmarkEnd w:id="1088"/>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089" w:name="_Ref532671480"/>
      <w:bookmarkStart w:id="1090" w:name="_Toc113958550"/>
      <w:bookmarkStart w:id="1091" w:name="_Toc18597"/>
      <w:bookmarkStart w:id="1092" w:name="_Ref532673541"/>
      <w:bookmarkStart w:id="1093" w:name="_Ref532669302"/>
      <w:bookmarkStart w:id="1094" w:name="_Ref532673538"/>
      <w:bookmarkStart w:id="1095" w:name="_Toc54862285"/>
      <w:bookmarkStart w:id="1096" w:name="_Ref532669305"/>
      <w:bookmarkStart w:id="1097" w:name="_Ref532671484"/>
      <w:r>
        <w:rPr>
          <w:rFonts w:hint="eastAsia" w:asciiTheme="minorEastAsia" w:hAnsiTheme="minorEastAsia" w:eastAsiaTheme="minorEastAsia" w:cstheme="minorEastAsia"/>
          <w:b w:val="0"/>
          <w:bCs/>
          <w:sz w:val="21"/>
          <w:szCs w:val="21"/>
        </w:rPr>
        <w:t>13.3 变更程序</w:t>
      </w:r>
      <w:bookmarkEnd w:id="1089"/>
      <w:bookmarkEnd w:id="1090"/>
      <w:bookmarkEnd w:id="1091"/>
      <w:bookmarkEnd w:id="1092"/>
      <w:bookmarkEnd w:id="1093"/>
      <w:bookmarkEnd w:id="1094"/>
      <w:bookmarkEnd w:id="1095"/>
      <w:bookmarkEnd w:id="1096"/>
      <w:bookmarkEnd w:id="1097"/>
    </w:p>
    <w:p>
      <w:pPr>
        <w:pStyle w:val="87"/>
        <w:spacing w:afterLines="0"/>
        <w:ind w:left="0" w:firstLine="420" w:firstLineChars="200"/>
        <w:rPr>
          <w:rFonts w:asciiTheme="minorEastAsia" w:hAnsiTheme="minorEastAsia" w:eastAsiaTheme="minorEastAsia" w:cstheme="minorEastAsia"/>
          <w:sz w:val="21"/>
        </w:rPr>
      </w:pPr>
      <w:bookmarkStart w:id="1098" w:name="_Ref4534600"/>
      <w:r>
        <w:rPr>
          <w:rFonts w:hint="eastAsia" w:asciiTheme="minorEastAsia" w:hAnsiTheme="minorEastAsia" w:eastAsiaTheme="minorEastAsia" w:cstheme="minorEastAsia"/>
          <w:sz w:val="21"/>
        </w:rPr>
        <w:t>13.3.1 发包人提出变更</w:t>
      </w:r>
      <w:bookmarkEnd w:id="109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发包人提出变更的，应通过工程师向承包人发出书面形式的变更指示，变更指示应说明计划变更的工程范围和变更的内容。</w:t>
      </w:r>
    </w:p>
    <w:p>
      <w:pPr>
        <w:pStyle w:val="87"/>
        <w:spacing w:afterLines="0"/>
        <w:ind w:left="0" w:firstLine="420" w:firstLineChars="200"/>
        <w:rPr>
          <w:rFonts w:asciiTheme="minorEastAsia" w:hAnsiTheme="minorEastAsia" w:eastAsiaTheme="minorEastAsia" w:cstheme="minorEastAsia"/>
          <w:sz w:val="21"/>
        </w:rPr>
      </w:pPr>
      <w:bookmarkStart w:id="1099" w:name="_Ref4534617"/>
      <w:r>
        <w:rPr>
          <w:rFonts w:hint="eastAsia" w:asciiTheme="minorEastAsia" w:hAnsiTheme="minorEastAsia" w:eastAsiaTheme="minorEastAsia" w:cstheme="minorEastAsia"/>
          <w:sz w:val="21"/>
        </w:rPr>
        <w:t>13.3.2 变更执行</w:t>
      </w:r>
      <w:bookmarkEnd w:id="109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13.3.3项[变更估价]约定确定变更估价。</w:t>
      </w:r>
    </w:p>
    <w:p>
      <w:pPr>
        <w:pStyle w:val="87"/>
        <w:spacing w:afterLines="0"/>
        <w:ind w:left="0" w:firstLine="420" w:firstLineChars="200"/>
        <w:rPr>
          <w:rFonts w:asciiTheme="minorEastAsia" w:hAnsiTheme="minorEastAsia" w:eastAsiaTheme="minorEastAsia" w:cstheme="minorEastAsia"/>
          <w:sz w:val="21"/>
        </w:rPr>
      </w:pPr>
      <w:bookmarkStart w:id="1100" w:name="_Ref3835481"/>
      <w:r>
        <w:rPr>
          <w:rFonts w:hint="eastAsia" w:asciiTheme="minorEastAsia" w:hAnsiTheme="minorEastAsia" w:eastAsiaTheme="minorEastAsia" w:cstheme="minorEastAsia"/>
          <w:sz w:val="21"/>
        </w:rPr>
        <w:t>13.3.3 变更估价</w:t>
      </w:r>
      <w:bookmarkEnd w:id="1100"/>
    </w:p>
    <w:p>
      <w:pPr>
        <w:pStyle w:val="88"/>
        <w:widowControl/>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13.3.3.1 变更估价原则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除专用合同条件另有约定外，变更估价按照本款约定处理：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合同中未包含价格清单，合同价格应按照所执行的变更工程的成本加利润调整；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合同中包含价格清单，合同价格按照如下规则调整：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价格清单中有适用于变更工程项目的，应采用该项目的费率和价格；</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价格清单中没有适用但有类似于变更工程项目的，可在合理范围内参照类似项目的费率或价格；</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价格清单中没有适用也没有类似于变更工程项目的，该工程项目应按成本加利润原则调整适用新的费率或价格。</w:t>
      </w:r>
    </w:p>
    <w:p>
      <w:pPr>
        <w:pStyle w:val="88"/>
        <w:widowControl/>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13.3.3.2 变更估价程序</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101" w:name="_Ref531955605"/>
      <w:bookmarkStart w:id="1102" w:name="_Ref531955607"/>
      <w:bookmarkStart w:id="1103" w:name="_Toc296503150"/>
      <w:bookmarkStart w:id="1104" w:name="_Toc337558844"/>
      <w:bookmarkStart w:id="1105" w:name="_Toc296346651"/>
      <w:r>
        <w:rPr>
          <w:rFonts w:hint="eastAsia" w:asciiTheme="minorEastAsia" w:hAnsiTheme="minorEastAsia" w:eastAsiaTheme="minorEastAsia" w:cstheme="minorEastAsia"/>
          <w:sz w:val="21"/>
          <w:szCs w:val="21"/>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因变更引起的价格调整应计入最近一期的进度款中支付。</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13.3.4 变更引起的工期调整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因变更引起工期变化的，合同当事人均可要求调整合同工期，由合同当事人按照第3.6款[商定或确定]并参考工程所在地的工期定额标准确定增减工期天数。</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106" w:name="_Toc113958551"/>
      <w:bookmarkStart w:id="1107" w:name="_Toc54862286"/>
      <w:bookmarkStart w:id="1108" w:name="_Ref4431237"/>
      <w:bookmarkStart w:id="1109" w:name="_Toc6454"/>
      <w:r>
        <w:rPr>
          <w:rFonts w:hint="eastAsia" w:asciiTheme="minorEastAsia" w:hAnsiTheme="minorEastAsia" w:eastAsiaTheme="minorEastAsia" w:cstheme="minorEastAsia"/>
          <w:b w:val="0"/>
          <w:bCs/>
          <w:sz w:val="21"/>
          <w:szCs w:val="21"/>
        </w:rPr>
        <w:t>13.4 暂估价</w:t>
      </w:r>
      <w:bookmarkEnd w:id="1106"/>
      <w:bookmarkEnd w:id="1107"/>
      <w:bookmarkEnd w:id="1108"/>
      <w:bookmarkEnd w:id="1109"/>
    </w:p>
    <w:p>
      <w:pPr>
        <w:pStyle w:val="87"/>
        <w:spacing w:afterLines="0"/>
        <w:ind w:left="0" w:firstLine="420" w:firstLineChars="200"/>
        <w:rPr>
          <w:rFonts w:asciiTheme="minorEastAsia" w:hAnsiTheme="minorEastAsia" w:eastAsiaTheme="minorEastAsia" w:cstheme="minorEastAsia"/>
          <w:sz w:val="21"/>
        </w:rPr>
      </w:pPr>
      <w:bookmarkStart w:id="1110" w:name="_Ref4616729"/>
      <w:r>
        <w:rPr>
          <w:rFonts w:hint="eastAsia" w:asciiTheme="minorEastAsia" w:hAnsiTheme="minorEastAsia" w:eastAsiaTheme="minorEastAsia" w:cstheme="minorEastAsia"/>
          <w:sz w:val="21"/>
        </w:rPr>
        <w:t>13.4.1 依法必须招标的暂估价项目</w:t>
      </w:r>
      <w:bookmarkEnd w:id="111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对于依法必须招标的暂估价项目，专用合同条件约定由承包人作为招标人的，招标文件、评标方案、评标结果应报送发包人批准。与组织招标工作有关的费用应当被认为已经包括在承包人的签约合同价中。</w:t>
      </w:r>
    </w:p>
    <w:p>
      <w:pPr>
        <w:pStyle w:val="89"/>
        <w:adjustRightInd w:val="0"/>
        <w:snapToGrid w:val="0"/>
        <w:spacing w:line="360" w:lineRule="auto"/>
        <w:ind w:left="0"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专用合同条件约定由发包人和承包人共同作为招标人的，与组织招标工作有关的费用在专用合同条件中约定。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具体的招标程序以及发包人和承包人权利义务关系可在专用合同条件中约定。暂估价项目的中标金额与价格清单中所列暂估价的金额差以及相应的税金等其他费用应列入合同价格。</w:t>
      </w:r>
    </w:p>
    <w:p>
      <w:pPr>
        <w:pStyle w:val="87"/>
        <w:spacing w:afterLines="0"/>
        <w:ind w:left="0" w:firstLine="420" w:firstLineChars="200"/>
        <w:rPr>
          <w:rFonts w:asciiTheme="minorEastAsia" w:hAnsiTheme="minorEastAsia" w:eastAsiaTheme="minorEastAsia" w:cstheme="minorEastAsia"/>
          <w:sz w:val="21"/>
        </w:rPr>
      </w:pPr>
      <w:bookmarkStart w:id="1111" w:name="_Ref4682312"/>
      <w:r>
        <w:rPr>
          <w:rFonts w:hint="eastAsia" w:asciiTheme="minorEastAsia" w:hAnsiTheme="minorEastAsia" w:eastAsiaTheme="minorEastAsia" w:cstheme="minorEastAsia"/>
          <w:sz w:val="21"/>
        </w:rPr>
        <w:t>13.4.2 不属于依法必须招标的暂估价项目</w:t>
      </w:r>
      <w:bookmarkEnd w:id="111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112" w:name="_Toc54862287"/>
      <w:bookmarkStart w:id="1113" w:name="_Ref4431250"/>
      <w:bookmarkStart w:id="1114" w:name="_Toc15832"/>
      <w:bookmarkStart w:id="1115" w:name="_Toc113958552"/>
      <w:r>
        <w:rPr>
          <w:rFonts w:hint="eastAsia" w:asciiTheme="minorEastAsia" w:hAnsiTheme="minorEastAsia" w:eastAsiaTheme="minorEastAsia" w:cstheme="minorEastAsia"/>
          <w:b w:val="0"/>
          <w:bCs/>
          <w:sz w:val="21"/>
          <w:szCs w:val="21"/>
        </w:rPr>
        <w:t>13.5 暂列金额</w:t>
      </w:r>
      <w:bookmarkEnd w:id="1112"/>
      <w:bookmarkEnd w:id="1113"/>
      <w:bookmarkEnd w:id="1114"/>
      <w:bookmarkEnd w:id="1115"/>
      <w:r>
        <w:rPr>
          <w:rFonts w:hint="eastAsia" w:asciiTheme="minorEastAsia" w:hAnsiTheme="minorEastAsia" w:eastAsiaTheme="minorEastAsia" w:cstheme="minorEastAsia"/>
          <w:b w:val="0"/>
          <w:bCs/>
          <w:sz w:val="21"/>
          <w:szCs w:val="21"/>
        </w:rPr>
        <w:t xml:space="preserve"> </w:t>
      </w:r>
      <w:bookmarkEnd w:id="1101"/>
      <w:bookmarkEnd w:id="1102"/>
    </w:p>
    <w:bookmarkEnd w:id="1103"/>
    <w:bookmarkEnd w:id="1104"/>
    <w:bookmarkEnd w:id="1105"/>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对于每笔暂列金额，发包人可以指示用于下列支付：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发包人根据第13.1款[发包人变更权]指示变更，决定对合同价格和付款计划表（如有）进行调整的、由承包人实施的工作（包括要提供的工程设备、材料和服务）；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承包人购买的工程设备、材料、工作或服务，应支付包括承包人已付（或应付）的实际金额以及相应的管理费等费用和利润（管理费和利润应以实际金额为基数根据合同约定的费率（如有）或百分比计算）。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每份包含暂列金额的文件还应包括用以证明暂列金额的所有有效的发票、凭证和账户或收据。</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116" w:name="_Toc113958553"/>
      <w:bookmarkStart w:id="1117" w:name="_Toc337558845"/>
      <w:bookmarkStart w:id="1118" w:name="_Toc26528"/>
      <w:bookmarkStart w:id="1119" w:name="_Toc296346653"/>
      <w:bookmarkStart w:id="1120" w:name="_Ref4431438"/>
      <w:bookmarkStart w:id="1121" w:name="_Toc296503152"/>
      <w:bookmarkStart w:id="1122" w:name="_Toc54862288"/>
      <w:r>
        <w:rPr>
          <w:rFonts w:hint="eastAsia" w:asciiTheme="minorEastAsia" w:hAnsiTheme="minorEastAsia" w:eastAsiaTheme="minorEastAsia" w:cstheme="minorEastAsia"/>
          <w:b w:val="0"/>
          <w:bCs/>
          <w:sz w:val="21"/>
          <w:szCs w:val="21"/>
        </w:rPr>
        <w:t>13.6 计日工</w:t>
      </w:r>
      <w:bookmarkEnd w:id="1116"/>
      <w:bookmarkEnd w:id="1117"/>
      <w:bookmarkEnd w:id="1118"/>
      <w:bookmarkEnd w:id="1119"/>
      <w:bookmarkEnd w:id="1120"/>
      <w:bookmarkEnd w:id="1121"/>
      <w:bookmarkEnd w:id="1122"/>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13.6.1 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3.6款[商定或确定]确定计日工的单价。</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13.6.2 采用计日工计价的任何一项工作，承包人应在该项工作实施过程中，每天提交以下报表和有关凭证报送工程师审查：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工作名称、内容和数量；</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投入该工作的所有人员的姓名、专业、工种、级别和耗用工时；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投入该工作的材料类别和数量；</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投入该工作的施工设备型号、台数和耗用台时；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其他有关资料和凭证。</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计日工由承包人汇总后，列入最近一期进度付款申请单，由工程师审查并经发包人批准后列入进度付款。</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123" w:name="_Toc21302"/>
      <w:bookmarkStart w:id="1124" w:name="_Ref4617331"/>
      <w:bookmarkStart w:id="1125" w:name="_Toc54862289"/>
      <w:bookmarkStart w:id="1126" w:name="_Ref4617318"/>
      <w:bookmarkStart w:id="1127" w:name="_Toc113958554"/>
      <w:r>
        <w:rPr>
          <w:rFonts w:hint="eastAsia" w:asciiTheme="minorEastAsia" w:hAnsiTheme="minorEastAsia" w:eastAsiaTheme="minorEastAsia" w:cstheme="minorEastAsia"/>
          <w:b w:val="0"/>
          <w:bCs/>
          <w:sz w:val="21"/>
          <w:szCs w:val="21"/>
        </w:rPr>
        <w:t>13.7 法律变化引起的调整</w:t>
      </w:r>
      <w:bookmarkEnd w:id="1123"/>
      <w:bookmarkEnd w:id="1124"/>
      <w:bookmarkEnd w:id="1125"/>
      <w:bookmarkEnd w:id="1126"/>
      <w:bookmarkEnd w:id="1127"/>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13.7.1 基准日期后，法律变化导致承包人在合同履行过程中所需要的费用发生除第13.8款[市场价格波动引起的调整]约定以外的增加时，由发包人承担由此增加的费用；减少时，应从合同价格中予以扣减。基准日期后，因法律变化造成工期延误时，工期应予以顺延。</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13.7.2 因法律变化引起的合同价格和工期调整，合同当事人无法达成一致的，由工程师按第3.6款[商定或确定]的约定处理。</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13.7.3 因承包人原因造成工期延误，在工期延误期间出现法律变化的，由此增加的费用和（或）延误的工期由承包人承担。</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13.7.4 因法律变化而需要对工程的实施进行任何调整的，承包人应迅速通知发包人，或者发包人应迅速通知承包人，并附上详细的辅助资料。发包人接到通知后，应根据第13.3款[变更程序]发出变更指示。</w:t>
      </w:r>
    </w:p>
    <w:p>
      <w:pPr>
        <w:pStyle w:val="86"/>
        <w:widowControl/>
        <w:spacing w:afterLines="0"/>
        <w:ind w:left="0" w:firstLine="420" w:firstLineChars="200"/>
        <w:rPr>
          <w:rFonts w:asciiTheme="minorEastAsia" w:hAnsiTheme="minorEastAsia" w:eastAsiaTheme="minorEastAsia" w:cstheme="minorEastAsia"/>
          <w:b w:val="0"/>
          <w:bCs/>
          <w:sz w:val="21"/>
          <w:szCs w:val="21"/>
        </w:rPr>
      </w:pPr>
      <w:bookmarkStart w:id="1128" w:name="_Ref18977613"/>
      <w:bookmarkStart w:id="1129" w:name="_Ref531955627"/>
      <w:bookmarkStart w:id="1130" w:name="_Toc54862290"/>
      <w:bookmarkStart w:id="1131" w:name="_Ref531955630"/>
      <w:bookmarkStart w:id="1132" w:name="_Toc1496"/>
      <w:bookmarkStart w:id="1133" w:name="_Toc113958555"/>
      <w:r>
        <w:rPr>
          <w:rFonts w:hint="eastAsia" w:asciiTheme="minorEastAsia" w:hAnsiTheme="minorEastAsia" w:eastAsiaTheme="minorEastAsia" w:cstheme="minorEastAsia"/>
          <w:b w:val="0"/>
          <w:bCs/>
          <w:sz w:val="21"/>
          <w:szCs w:val="21"/>
        </w:rPr>
        <w:t>13.8 市场价格波动引起的调整</w:t>
      </w:r>
      <w:bookmarkEnd w:id="1128"/>
      <w:bookmarkEnd w:id="1129"/>
      <w:bookmarkEnd w:id="1130"/>
      <w:bookmarkEnd w:id="1131"/>
      <w:bookmarkEnd w:id="1132"/>
      <w:bookmarkEnd w:id="1133"/>
    </w:p>
    <w:p>
      <w:pPr>
        <w:pStyle w:val="87"/>
        <w:spacing w:afterLines="0"/>
        <w:ind w:left="0" w:firstLine="420" w:firstLineChars="200"/>
        <w:rPr>
          <w:rFonts w:asciiTheme="minorEastAsia" w:hAnsiTheme="minorEastAsia" w:eastAsiaTheme="minorEastAsia" w:cstheme="minorEastAsia"/>
          <w:sz w:val="21"/>
        </w:rPr>
      </w:pPr>
      <w:bookmarkStart w:id="1134" w:name="_Ref4709841"/>
      <w:r>
        <w:rPr>
          <w:rFonts w:hint="eastAsia" w:asciiTheme="minorEastAsia" w:hAnsiTheme="minorEastAsia" w:eastAsiaTheme="minorEastAsia" w:cstheme="minorEastAsia"/>
          <w:sz w:val="21"/>
        </w:rPr>
        <w:t>13.8.1 主要工程材料、设备、人工价格与招标时基期价相比，波动幅度超过合同约定幅度的，双方按照合同约定的价格调整方式调整。</w:t>
      </w:r>
    </w:p>
    <w:p>
      <w:pPr>
        <w:pStyle w:val="87"/>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13.8.2 发包人与承包人在专用合同条件中约定采用《价格指数权重表》的，适用本项约定。</w:t>
      </w:r>
    </w:p>
    <w:p>
      <w:pPr>
        <w:pStyle w:val="88"/>
        <w:spacing w:afterLines="0"/>
        <w:ind w:left="0" w:firstLine="420" w:firstLineChars="20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13.8.2.1 双方当事人可以将部分主要工程材料、工程设备、人工价格及其他双方认为应当根据市场价格调整的费用列入附件6[价格指数权重表]，并根据以下公式计算差额并调整合同价格：</w:t>
      </w:r>
    </w:p>
    <w:bookmarkEnd w:id="1134"/>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135" w:name="_Ref4616996"/>
      <w:r>
        <w:rPr>
          <w:rFonts w:hint="eastAsia" w:asciiTheme="minorEastAsia" w:hAnsiTheme="minorEastAsia" w:eastAsiaTheme="minorEastAsia" w:cstheme="minorEastAsia"/>
          <w:sz w:val="21"/>
          <w:szCs w:val="21"/>
        </w:rPr>
        <w:t>（1） 价格调整公式</w:t>
      </w:r>
      <w:bookmarkEnd w:id="1135"/>
    </w:p>
    <w:p>
      <w:pPr>
        <w:pStyle w:val="2"/>
        <w:spacing w:after="0" w:line="360" w:lineRule="auto"/>
        <w:ind w:left="0" w:firstLine="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bidi="ar-SA"/>
        </w:rPr>
        <w:drawing>
          <wp:inline distT="0" distB="0" distL="0" distR="0">
            <wp:extent cx="5230495" cy="742950"/>
            <wp:effectExtent l="0" t="0" r="8255"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1" cstate="print"/>
                    <a:srcRect/>
                    <a:stretch>
                      <a:fillRect/>
                    </a:stretch>
                  </pic:blipFill>
                  <pic:spPr>
                    <a:xfrm>
                      <a:off x="0" y="0"/>
                      <a:ext cx="5230495" cy="742950"/>
                    </a:xfrm>
                    <a:prstGeom prst="rect">
                      <a:avLst/>
                    </a:prstGeom>
                    <a:ln>
                      <a:noFill/>
                    </a:ln>
                  </pic:spPr>
                </pic:pic>
              </a:graphicData>
            </a:graphic>
          </wp:inline>
        </w:drawing>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公式中：△P---需调整的价格差额；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vertAlign w:val="subscript"/>
        </w:rPr>
        <w:t>O</w:t>
      </w:r>
      <w:r>
        <w:rPr>
          <w:rFonts w:hint="eastAsia" w:asciiTheme="minorEastAsia" w:hAnsiTheme="minorEastAsia" w:eastAsiaTheme="minorEastAsia" w:cstheme="minorEastAsia"/>
          <w:sz w:val="21"/>
          <w:szCs w:val="21"/>
        </w:rPr>
        <w:t>---付款证书中承包人应得到的已完成工作量的金额。此项金额应不包括价格调整、不计质量保证金的预留和支付、预付款的支付和扣回。第13条[变更与调整]约定的变更及其他金额已按当期价格计价的，也不计在内；</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 ---定值权重（即不调部分的权重）； </w:t>
      </w:r>
    </w:p>
    <w:p>
      <w:pPr>
        <w:adjustRightInd w:val="0"/>
        <w:snapToGrid w:val="0"/>
        <w:spacing w:line="360" w:lineRule="auto"/>
        <w:ind w:firstLine="600"/>
        <w:rPr>
          <w:rFonts w:asciiTheme="minorEastAsia" w:hAnsiTheme="minorEastAsia" w:eastAsiaTheme="minorEastAsia" w:cstheme="minorEastAsia"/>
          <w:sz w:val="21"/>
          <w:szCs w:val="21"/>
        </w:rPr>
      </w:pPr>
      <w:bookmarkStart w:id="1136" w:name="_Hlk24103184"/>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1</w:t>
      </w:r>
      <w:bookmarkEnd w:id="1136"/>
      <w:r>
        <w:rPr>
          <w:rFonts w:hint="eastAsia" w:asciiTheme="minorEastAsia" w:hAnsiTheme="minorEastAsia" w:eastAsiaTheme="minorEastAsia" w:cstheme="minorEastAsia"/>
          <w:sz w:val="21"/>
          <w:szCs w:val="21"/>
        </w:rPr>
        <w:t>；</w:t>
      </w:r>
      <w:bookmarkStart w:id="1137" w:name="_Hlk24103205"/>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2</w:t>
      </w:r>
      <w:bookmarkEnd w:id="1137"/>
      <w:r>
        <w:rPr>
          <w:rFonts w:hint="eastAsia" w:asciiTheme="minorEastAsia" w:hAnsiTheme="minorEastAsia" w:eastAsiaTheme="minorEastAsia" w:cstheme="minorEastAsia"/>
          <w:sz w:val="21"/>
          <w:szCs w:val="21"/>
        </w:rPr>
        <w:t>；</w:t>
      </w:r>
      <w:bookmarkStart w:id="1138" w:name="_Hlk24103220"/>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3</w:t>
      </w:r>
      <w:bookmarkEnd w:id="1138"/>
      <w:r>
        <w:rPr>
          <w:rFonts w:hint="eastAsia" w:asciiTheme="minorEastAsia" w:hAnsiTheme="minorEastAsia" w:eastAsiaTheme="minorEastAsia" w:cstheme="minorEastAsia"/>
          <w:sz w:val="21"/>
          <w:szCs w:val="21"/>
        </w:rPr>
        <w:t>；……</w:t>
      </w:r>
      <w:bookmarkStart w:id="1139" w:name="_Hlk24103245"/>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n</w:t>
      </w:r>
      <w:bookmarkEnd w:id="1139"/>
      <w:r>
        <w:rPr>
          <w:rFonts w:hint="eastAsia" w:asciiTheme="minorEastAsia" w:hAnsiTheme="minorEastAsia" w:eastAsiaTheme="minorEastAsia" w:cstheme="minorEastAsia"/>
          <w:sz w:val="21"/>
          <w:szCs w:val="21"/>
        </w:rPr>
        <w:t>---各可调因子的变值权重（即可调部分的权重）为各可调因子在投标函投标总报价中所占的比例，且A+B</w:t>
      </w:r>
      <w:r>
        <w:rPr>
          <w:rFonts w:hint="eastAsia" w:asciiTheme="minorEastAsia" w:hAnsiTheme="minorEastAsia" w:eastAsiaTheme="minorEastAsia" w:cstheme="minorEastAsia"/>
          <w:sz w:val="21"/>
          <w:szCs w:val="21"/>
          <w:vertAlign w:val="subscript"/>
        </w:rPr>
        <w:t>1</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vertAlign w:val="subscript"/>
        </w:rPr>
        <w:t>n</w:t>
      </w:r>
      <w:r>
        <w:rPr>
          <w:rFonts w:hint="eastAsia" w:asciiTheme="minorEastAsia" w:hAnsiTheme="minorEastAsia" w:eastAsiaTheme="minorEastAsia" w:cstheme="minorEastAsia"/>
          <w:sz w:val="21"/>
          <w:szCs w:val="21"/>
        </w:rPr>
        <w:t>=1；</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t1</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t2</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t3</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tn</w:t>
      </w:r>
      <w:r>
        <w:rPr>
          <w:rFonts w:hint="eastAsia" w:asciiTheme="minorEastAsia" w:hAnsiTheme="minorEastAsia" w:eastAsiaTheme="minorEastAsia" w:cstheme="minorEastAsia"/>
          <w:sz w:val="21"/>
          <w:szCs w:val="21"/>
        </w:rPr>
        <w:t>---各可调因子的当期价格指数，指付款证书相关周期最后一天的前42天的各可调因子的价格指数；</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01</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02</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03</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0n</w:t>
      </w:r>
      <w:r>
        <w:rPr>
          <w:rFonts w:hint="eastAsia" w:asciiTheme="minorEastAsia" w:hAnsiTheme="minorEastAsia" w:eastAsiaTheme="minorEastAsia" w:cstheme="minorEastAsia"/>
          <w:sz w:val="21"/>
          <w:szCs w:val="21"/>
        </w:rPr>
        <w:t>---各可调因子的基本价格指数，指基准日期的各可调因子的价格指数。</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暂时确定调整差额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在计算调整差额时得不到当期价格指数的，可暂用上一次价格指数计算，并在以后的付款中再按实际价格指数进行调整。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权重的调整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按第13.1款[发包人变更权]约定的变更导致原定合同中的权重不合理的，由工程师与承包人和发包人协商后进行调整。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承包人原因工期延误后的价格调整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发包人引起的工期延误后的价格调整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pPr>
        <w:pStyle w:val="88"/>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13.8.2.2 未列入</w:t>
      </w:r>
      <w:bookmarkStart w:id="1140" w:name="_Hlk24494865"/>
      <w:r>
        <w:rPr>
          <w:rFonts w:hint="eastAsia" w:asciiTheme="minorEastAsia" w:hAnsiTheme="minorEastAsia" w:eastAsiaTheme="minorEastAsia" w:cstheme="minorEastAsia"/>
          <w:sz w:val="21"/>
        </w:rPr>
        <w:t>《价格指数权重表》</w:t>
      </w:r>
      <w:bookmarkEnd w:id="1140"/>
      <w:r>
        <w:rPr>
          <w:rFonts w:hint="eastAsia" w:asciiTheme="minorEastAsia" w:hAnsiTheme="minorEastAsia" w:eastAsiaTheme="minorEastAsia" w:cstheme="minorEastAsia"/>
          <w:sz w:val="21"/>
        </w:rPr>
        <w:t>的费用不因市场变化而调整。</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13.8.3 双方约定采用其他方式调整合同价款的，以专用合同条件约定为准。</w:t>
      </w:r>
    </w:p>
    <w:p>
      <w:pPr>
        <w:pStyle w:val="85"/>
        <w:numPr>
          <w:ilvl w:val="0"/>
          <w:numId w:val="0"/>
        </w:numPr>
        <w:adjustRightInd w:val="0"/>
        <w:snapToGrid w:val="0"/>
        <w:rPr>
          <w:rFonts w:asciiTheme="minorEastAsia" w:hAnsiTheme="minorEastAsia" w:eastAsiaTheme="minorEastAsia" w:cstheme="minorEastAsia"/>
          <w:bCs/>
          <w:sz w:val="21"/>
          <w:szCs w:val="21"/>
        </w:rPr>
      </w:pPr>
      <w:bookmarkStart w:id="1141" w:name="_Ref531955880"/>
      <w:bookmarkStart w:id="1142" w:name="_Toc54862291"/>
      <w:bookmarkStart w:id="1143" w:name="_Toc15667"/>
      <w:bookmarkStart w:id="1144" w:name="_Toc113958556"/>
      <w:bookmarkStart w:id="1145" w:name="_Ref531955885"/>
      <w:r>
        <w:rPr>
          <w:rFonts w:hint="eastAsia" w:asciiTheme="minorEastAsia" w:hAnsiTheme="minorEastAsia" w:eastAsiaTheme="minorEastAsia" w:cstheme="minorEastAsia"/>
          <w:bCs/>
          <w:sz w:val="21"/>
          <w:szCs w:val="21"/>
        </w:rPr>
        <w:t>第14条 合同价格与支付</w:t>
      </w:r>
      <w:bookmarkEnd w:id="1141"/>
      <w:bookmarkEnd w:id="1142"/>
      <w:bookmarkEnd w:id="1143"/>
      <w:bookmarkEnd w:id="1144"/>
      <w:bookmarkEnd w:id="1145"/>
    </w:p>
    <w:p>
      <w:pPr>
        <w:pStyle w:val="86"/>
        <w:widowControl/>
        <w:spacing w:afterLines="0"/>
        <w:ind w:left="0"/>
        <w:rPr>
          <w:rFonts w:asciiTheme="minorEastAsia" w:hAnsiTheme="minorEastAsia" w:eastAsiaTheme="minorEastAsia" w:cstheme="minorEastAsia"/>
          <w:b w:val="0"/>
          <w:bCs/>
          <w:sz w:val="21"/>
          <w:szCs w:val="21"/>
        </w:rPr>
      </w:pPr>
      <w:bookmarkStart w:id="1146" w:name="_Ref4431521"/>
      <w:bookmarkStart w:id="1147" w:name="_Toc54862292"/>
      <w:bookmarkStart w:id="1148" w:name="_Ref4431531"/>
      <w:bookmarkStart w:id="1149" w:name="_Toc23310"/>
      <w:bookmarkStart w:id="1150" w:name="_Toc113958557"/>
      <w:r>
        <w:rPr>
          <w:rFonts w:hint="eastAsia" w:asciiTheme="minorEastAsia" w:hAnsiTheme="minorEastAsia" w:eastAsiaTheme="minorEastAsia" w:cstheme="minorEastAsia"/>
          <w:b w:val="0"/>
          <w:bCs/>
          <w:sz w:val="21"/>
          <w:szCs w:val="21"/>
        </w:rPr>
        <w:t>14.1 合同价格形式</w:t>
      </w:r>
      <w:bookmarkEnd w:id="1146"/>
      <w:bookmarkEnd w:id="1147"/>
      <w:bookmarkEnd w:id="1148"/>
      <w:bookmarkEnd w:id="1149"/>
      <w:bookmarkEnd w:id="1150"/>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14.1.1 除专用合同条件中另有约定外，本合同为总价合同，除根据第13条[变更与调整]，以及合同中其它相关增减金额的约定进行调整外，合同价格不做调整。</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14.1.2 除专用合同条件另有约定外：</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（1）工程款的支付应以合同协议书约定的签约合同价格为基础，按照合同约定进行调整；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（2）承包人应支付根据法律规定或合同约定应由其支付的各项税费，除第13.7款[法律变化引起的调整]约定外，合同价格不应因任何这些税费进行调整；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14.1.3 合同约定工程的某部分按照实际完成的工程量进行支付的，应按照专用合同条件的约定进行计量和估价，并据此调整合同价格。</w:t>
      </w:r>
    </w:p>
    <w:p>
      <w:pPr>
        <w:pStyle w:val="86"/>
        <w:widowControl/>
        <w:spacing w:afterLines="0"/>
        <w:ind w:left="0"/>
        <w:rPr>
          <w:rFonts w:asciiTheme="minorEastAsia" w:hAnsiTheme="minorEastAsia" w:eastAsiaTheme="minorEastAsia" w:cstheme="minorEastAsia"/>
          <w:b w:val="0"/>
          <w:bCs/>
          <w:sz w:val="21"/>
          <w:szCs w:val="21"/>
        </w:rPr>
      </w:pPr>
      <w:bookmarkStart w:id="1151" w:name="_Ref531956881"/>
      <w:bookmarkStart w:id="1152" w:name="_Toc113958558"/>
      <w:bookmarkStart w:id="1153" w:name="_Ref531956884"/>
      <w:bookmarkStart w:id="1154" w:name="_Toc24740"/>
      <w:bookmarkStart w:id="1155" w:name="_Toc54862293"/>
      <w:r>
        <w:rPr>
          <w:rFonts w:hint="eastAsia" w:asciiTheme="minorEastAsia" w:hAnsiTheme="minorEastAsia" w:eastAsiaTheme="minorEastAsia" w:cstheme="minorEastAsia"/>
          <w:b w:val="0"/>
          <w:bCs/>
          <w:sz w:val="21"/>
          <w:szCs w:val="21"/>
        </w:rPr>
        <w:t>14.2 预付款</w:t>
      </w:r>
      <w:bookmarkEnd w:id="1151"/>
      <w:bookmarkEnd w:id="1152"/>
      <w:bookmarkEnd w:id="1153"/>
      <w:bookmarkEnd w:id="1154"/>
      <w:bookmarkEnd w:id="1155"/>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14.2.1 预付款支付</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预付款的额度和支付按照专用合同条件约定执行。预付款应当专用于承包人为合同工程的设计和工程实施购置材料、工程设备、施工设备、修建临时设施以及组织施工队伍进场等合同工作。</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除专用合同条件另有约定外，预付款在进度付款中同比例扣回。在颁发工程接收证书前，提前解除合同的，尚未扣完的预付款应与合同价款一并结算。</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发包人逾期支付预付款超过7天的，承包人有权向发包人发出要求预付的催告通知，发包人收到通知后7天内仍未支付的，承包人有权暂停施工，并按第15.1.1项[发包人违约的情形]执行。</w:t>
      </w:r>
    </w:p>
    <w:p>
      <w:pPr>
        <w:pStyle w:val="87"/>
        <w:spacing w:afterLines="0"/>
        <w:ind w:left="0"/>
        <w:rPr>
          <w:rFonts w:asciiTheme="minorEastAsia" w:hAnsiTheme="minorEastAsia" w:eastAsiaTheme="minorEastAsia" w:cstheme="minorEastAsia"/>
          <w:sz w:val="21"/>
        </w:rPr>
      </w:pPr>
      <w:bookmarkStart w:id="1156" w:name="_Ref531956907"/>
      <w:bookmarkStart w:id="1157" w:name="_Ref4797624"/>
      <w:bookmarkStart w:id="1158" w:name="_Hlk54429963"/>
      <w:r>
        <w:rPr>
          <w:rFonts w:hint="eastAsia" w:asciiTheme="minorEastAsia" w:hAnsiTheme="minorEastAsia" w:eastAsiaTheme="minorEastAsia" w:cstheme="minorEastAsia"/>
          <w:sz w:val="21"/>
        </w:rPr>
        <w:t>14.2.2 预付款</w:t>
      </w:r>
      <w:bookmarkEnd w:id="1156"/>
      <w:r>
        <w:rPr>
          <w:rFonts w:hint="eastAsia" w:asciiTheme="minorEastAsia" w:hAnsiTheme="minorEastAsia" w:eastAsiaTheme="minorEastAsia" w:cstheme="minorEastAsia"/>
          <w:sz w:val="21"/>
        </w:rPr>
        <w:t>担保</w:t>
      </w:r>
      <w:bookmarkEnd w:id="1157"/>
    </w:p>
    <w:bookmarkEnd w:id="1158"/>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发包人在工程款中逐期扣回预付款后，预付款担保额度应相应减少，但剩余的预付款担保金额不得低于未被扣回的预付款金额。</w:t>
      </w:r>
    </w:p>
    <w:p>
      <w:pPr>
        <w:pStyle w:val="86"/>
        <w:widowControl/>
        <w:spacing w:afterLines="0"/>
        <w:ind w:left="0"/>
        <w:rPr>
          <w:rFonts w:asciiTheme="minorEastAsia" w:hAnsiTheme="minorEastAsia" w:eastAsiaTheme="minorEastAsia" w:cstheme="minorEastAsia"/>
          <w:b w:val="0"/>
          <w:bCs/>
          <w:sz w:val="21"/>
          <w:szCs w:val="21"/>
        </w:rPr>
      </w:pPr>
      <w:bookmarkStart w:id="1159" w:name="_Toc4784194"/>
      <w:bookmarkEnd w:id="1159"/>
      <w:bookmarkStart w:id="1160" w:name="_Toc4784195"/>
      <w:bookmarkEnd w:id="1160"/>
      <w:bookmarkStart w:id="1161" w:name="_Toc4784193"/>
      <w:bookmarkEnd w:id="1161"/>
      <w:bookmarkStart w:id="1162" w:name="_Toc113958559"/>
      <w:bookmarkStart w:id="1163" w:name="_Ref4623398"/>
      <w:bookmarkStart w:id="1164" w:name="_Toc54862294"/>
      <w:bookmarkStart w:id="1165" w:name="_Ref531956963"/>
      <w:bookmarkStart w:id="1166" w:name="_Toc29087"/>
      <w:bookmarkStart w:id="1167" w:name="_Ref531956967"/>
      <w:r>
        <w:rPr>
          <w:rFonts w:hint="eastAsia" w:asciiTheme="minorEastAsia" w:hAnsiTheme="minorEastAsia" w:eastAsiaTheme="minorEastAsia" w:cstheme="minorEastAsia"/>
          <w:b w:val="0"/>
          <w:bCs/>
          <w:sz w:val="21"/>
          <w:szCs w:val="21"/>
        </w:rPr>
        <w:t>14.3 工程进度款</w:t>
      </w:r>
      <w:bookmarkEnd w:id="1162"/>
      <w:bookmarkEnd w:id="1163"/>
      <w:bookmarkEnd w:id="1164"/>
      <w:bookmarkEnd w:id="1165"/>
      <w:bookmarkEnd w:id="1166"/>
      <w:bookmarkEnd w:id="1167"/>
    </w:p>
    <w:p>
      <w:pPr>
        <w:pStyle w:val="87"/>
        <w:spacing w:afterLines="0"/>
        <w:ind w:left="0"/>
        <w:rPr>
          <w:rFonts w:asciiTheme="minorEastAsia" w:hAnsiTheme="minorEastAsia" w:eastAsiaTheme="minorEastAsia" w:cstheme="minorEastAsia"/>
          <w:sz w:val="21"/>
        </w:rPr>
      </w:pPr>
      <w:bookmarkStart w:id="1168" w:name="_Ref531956987"/>
      <w:bookmarkStart w:id="1169" w:name="_Ref532679934"/>
      <w:r>
        <w:rPr>
          <w:rFonts w:hint="eastAsia" w:asciiTheme="minorEastAsia" w:hAnsiTheme="minorEastAsia" w:eastAsiaTheme="minorEastAsia" w:cstheme="minorEastAsia"/>
          <w:sz w:val="21"/>
        </w:rPr>
        <w:t>14.3.1 工程进度付款申请</w:t>
      </w:r>
      <w:bookmarkEnd w:id="1168"/>
      <w:bookmarkEnd w:id="1169"/>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（1）人工费的申请</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（2）除专用合同条件另有约定外，承包人应在每月月末向工程师提交进度付款申请单，该进度付款申请单应包括下列内容：</w:t>
      </w:r>
    </w:p>
    <w:p>
      <w:pPr>
        <w:adjustRightInd w:val="0"/>
        <w:snapToGrid w:val="0"/>
        <w:spacing w:line="360" w:lineRule="auto"/>
        <w:ind w:firstLine="600"/>
        <w:rPr>
          <w:rFonts w:asciiTheme="minorEastAsia" w:hAnsiTheme="minorEastAsia" w:eastAsiaTheme="minorEastAsia" w:cstheme="minorEastAsia"/>
          <w:sz w:val="21"/>
          <w:szCs w:val="21"/>
        </w:rPr>
      </w:pPr>
      <w:bookmarkStart w:id="1170" w:name="_Ref24496054"/>
      <w:r>
        <w:rPr>
          <w:rFonts w:hint="eastAsia" w:asciiTheme="minorEastAsia" w:hAnsiTheme="minorEastAsia" w:eastAsiaTheme="minorEastAsia" w:cstheme="minorEastAsia"/>
          <w:sz w:val="21"/>
          <w:szCs w:val="21"/>
        </w:rPr>
        <w:t>1） 截至本次付款周期内已完成工作对应的金额；</w:t>
      </w:r>
      <w:bookmarkEnd w:id="1170"/>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扣除依据本款第（1）目约定中已扣除的人工费金额；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根据第13条[变更与调整]应增加和扣减的变更金额；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根据第14.2款[预付款]约定应支付的预付款和扣减的返还预付款；</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根据第14.6.2项[质量保证金的预留]约定应预留的质量保证金金额；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根据第19条[索赔]应增加和扣减的索赔金额；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对已签发的进度款支付证书中出现错误的修正，应在本次进度付款中支付或扣除的金额；</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根据合同约定应增加和扣减的其他金额。</w:t>
      </w:r>
    </w:p>
    <w:p>
      <w:pPr>
        <w:pStyle w:val="87"/>
        <w:spacing w:afterLines="0"/>
        <w:ind w:left="0"/>
        <w:rPr>
          <w:rFonts w:asciiTheme="minorEastAsia" w:hAnsiTheme="minorEastAsia" w:eastAsiaTheme="minorEastAsia" w:cstheme="minorEastAsia"/>
          <w:sz w:val="21"/>
        </w:rPr>
      </w:pPr>
      <w:bookmarkStart w:id="1171" w:name="_Ref531957608"/>
      <w:r>
        <w:rPr>
          <w:rFonts w:hint="eastAsia" w:asciiTheme="minorEastAsia" w:hAnsiTheme="minorEastAsia" w:eastAsiaTheme="minorEastAsia" w:cstheme="minorEastAsia"/>
          <w:sz w:val="21"/>
        </w:rPr>
        <w:t>14.3.2 进度付款审核和支付</w:t>
      </w:r>
      <w:bookmarkEnd w:id="117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20条[争议解决]的约定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除专用合同条件另有约定外，发包人应在进度款支付证书签发后14天内完成支付，发包人逾期支付进度款的，按照贷款市场报价利率（LPR）支付利息；逾期支付超过56天的，按照贷款市场报价利率（LPR）的两倍支付利息。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发包人签发进度款支付证书，不表明发包人已同意、批准或接受了承包人完成的相应部分的工作。</w:t>
      </w:r>
    </w:p>
    <w:p>
      <w:pPr>
        <w:pStyle w:val="87"/>
        <w:spacing w:afterLines="0"/>
        <w:ind w:left="0"/>
        <w:rPr>
          <w:rFonts w:asciiTheme="minorEastAsia" w:hAnsiTheme="minorEastAsia" w:eastAsiaTheme="minorEastAsia" w:cstheme="minorEastAsia"/>
          <w:sz w:val="21"/>
        </w:rPr>
      </w:pPr>
      <w:bookmarkStart w:id="1172" w:name="_Ref531957023"/>
      <w:r>
        <w:rPr>
          <w:rFonts w:hint="eastAsia" w:asciiTheme="minorEastAsia" w:hAnsiTheme="minorEastAsia" w:eastAsiaTheme="minorEastAsia" w:cstheme="minorEastAsia"/>
          <w:sz w:val="21"/>
        </w:rPr>
        <w:t>14.3.3 进度付款的修正</w:t>
      </w:r>
      <w:bookmarkEnd w:id="117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在对已签发的进度款支付证书进行阶段汇总和复核中发现错误、遗漏或重复的，发包人和承包人均有权提出修正申请。经发包人和承包人同意的修正，应在下期进度付款中支付或扣除。</w:t>
      </w:r>
    </w:p>
    <w:p>
      <w:pPr>
        <w:pStyle w:val="86"/>
        <w:widowControl/>
        <w:spacing w:afterLines="0"/>
        <w:ind w:left="0"/>
        <w:rPr>
          <w:rFonts w:asciiTheme="minorEastAsia" w:hAnsiTheme="minorEastAsia" w:eastAsiaTheme="minorEastAsia" w:cstheme="minorEastAsia"/>
          <w:b w:val="0"/>
          <w:bCs/>
          <w:sz w:val="21"/>
          <w:szCs w:val="21"/>
        </w:rPr>
      </w:pPr>
      <w:bookmarkStart w:id="1173" w:name="_Toc54862295"/>
      <w:bookmarkStart w:id="1174" w:name="_Toc113958560"/>
      <w:bookmarkStart w:id="1175" w:name="_Toc23524"/>
      <w:bookmarkStart w:id="1176" w:name="_Ref4538578"/>
      <w:bookmarkStart w:id="1177" w:name="_Ref536647814"/>
      <w:bookmarkStart w:id="1178" w:name="_Ref536647822"/>
      <w:r>
        <w:rPr>
          <w:rFonts w:hint="eastAsia" w:asciiTheme="minorEastAsia" w:hAnsiTheme="minorEastAsia" w:eastAsiaTheme="minorEastAsia" w:cstheme="minorEastAsia"/>
          <w:b w:val="0"/>
          <w:bCs/>
          <w:sz w:val="21"/>
          <w:szCs w:val="21"/>
        </w:rPr>
        <w:t>14.4 付款计划表</w:t>
      </w:r>
      <w:bookmarkEnd w:id="1173"/>
      <w:bookmarkEnd w:id="1174"/>
      <w:bookmarkEnd w:id="1175"/>
      <w:bookmarkEnd w:id="1176"/>
    </w:p>
    <w:p>
      <w:pPr>
        <w:pStyle w:val="87"/>
        <w:spacing w:afterLines="0"/>
        <w:ind w:left="0"/>
        <w:rPr>
          <w:rFonts w:asciiTheme="minorEastAsia" w:hAnsiTheme="minorEastAsia" w:eastAsiaTheme="minorEastAsia" w:cstheme="minorEastAsia"/>
          <w:sz w:val="21"/>
        </w:rPr>
      </w:pPr>
      <w:bookmarkStart w:id="1179" w:name="_Ref4570974"/>
      <w:r>
        <w:rPr>
          <w:rFonts w:hint="eastAsia" w:asciiTheme="minorEastAsia" w:hAnsiTheme="minorEastAsia" w:eastAsiaTheme="minorEastAsia" w:cstheme="minorEastAsia"/>
          <w:sz w:val="21"/>
        </w:rPr>
        <w:t>14.4.1 付款计划表的编制要求</w:t>
      </w:r>
      <w:bookmarkEnd w:id="117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除专用合同条件另有约定外，付款计划表按如下要求编制：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付款计划表中所列的每期付款金额，应为第14.3.1项[工程进度付款申请]每期进度款的估算金额；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实际进度与项目进度计划不一致的，合同当事人可按照第3.6款[商定或确定]修改付款计划表；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不采用付款计划表的，承包人应向工程师提交按季度编制的支付估算付款计划表，用于支付参考。</w:t>
      </w:r>
    </w:p>
    <w:p>
      <w:pPr>
        <w:pStyle w:val="87"/>
        <w:spacing w:afterLines="0"/>
        <w:ind w:left="0"/>
        <w:rPr>
          <w:rFonts w:asciiTheme="minorEastAsia" w:hAnsiTheme="minorEastAsia" w:eastAsiaTheme="minorEastAsia" w:cstheme="minorEastAsia"/>
          <w:sz w:val="21"/>
        </w:rPr>
      </w:pPr>
      <w:bookmarkStart w:id="1180" w:name="_Ref4571011"/>
      <w:r>
        <w:rPr>
          <w:rFonts w:hint="eastAsia" w:asciiTheme="minorEastAsia" w:hAnsiTheme="minorEastAsia" w:eastAsiaTheme="minorEastAsia" w:cstheme="minorEastAsia"/>
          <w:sz w:val="21"/>
        </w:rPr>
        <w:t>14.4.2 付款计划表的编制与审批</w:t>
      </w:r>
      <w:bookmarkEnd w:id="118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专用合同条件另有约定外，承包人应根据第8.4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工程师应在收到付款计划表后7天内完成审核并报送发包人。发包人应在收到经工程师审核的付款计划表后7天内完成审批，经发包人批准的付款计划表为有约束力的付款计划表。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发包人逾期未完成付款计划表审批的，也未及时要求承包人进行修正和提供补充资料的，则承包人提交的付款计划表视为已经获得发包人批准。</w:t>
      </w:r>
    </w:p>
    <w:p>
      <w:pPr>
        <w:pStyle w:val="86"/>
        <w:widowControl/>
        <w:spacing w:afterLines="0"/>
        <w:ind w:left="0"/>
        <w:rPr>
          <w:rFonts w:asciiTheme="minorEastAsia" w:hAnsiTheme="minorEastAsia" w:eastAsiaTheme="minorEastAsia" w:cstheme="minorEastAsia"/>
          <w:b w:val="0"/>
          <w:bCs/>
          <w:sz w:val="21"/>
          <w:szCs w:val="21"/>
        </w:rPr>
      </w:pPr>
      <w:bookmarkStart w:id="1181" w:name="_Ref4538634"/>
      <w:bookmarkStart w:id="1182" w:name="_Toc113958561"/>
      <w:bookmarkStart w:id="1183" w:name="_Toc54862296"/>
      <w:bookmarkStart w:id="1184" w:name="_Toc32290"/>
      <w:r>
        <w:rPr>
          <w:rFonts w:hint="eastAsia" w:asciiTheme="minorEastAsia" w:hAnsiTheme="minorEastAsia" w:eastAsiaTheme="minorEastAsia" w:cstheme="minorEastAsia"/>
          <w:b w:val="0"/>
          <w:bCs/>
          <w:sz w:val="21"/>
          <w:szCs w:val="21"/>
        </w:rPr>
        <w:t>14.5 竣工结算</w:t>
      </w:r>
      <w:bookmarkEnd w:id="1181"/>
      <w:bookmarkEnd w:id="1182"/>
      <w:bookmarkEnd w:id="1183"/>
      <w:bookmarkEnd w:id="1184"/>
    </w:p>
    <w:p>
      <w:pPr>
        <w:pStyle w:val="87"/>
        <w:spacing w:afterLines="0"/>
        <w:ind w:left="0"/>
        <w:rPr>
          <w:rFonts w:asciiTheme="minorEastAsia" w:hAnsiTheme="minorEastAsia" w:eastAsiaTheme="minorEastAsia" w:cstheme="minorEastAsia"/>
          <w:sz w:val="21"/>
        </w:rPr>
      </w:pPr>
      <w:bookmarkStart w:id="1185" w:name="_Ref4571361"/>
      <w:r>
        <w:rPr>
          <w:rFonts w:hint="eastAsia" w:asciiTheme="minorEastAsia" w:hAnsiTheme="minorEastAsia" w:eastAsiaTheme="minorEastAsia" w:cstheme="minorEastAsia"/>
          <w:sz w:val="21"/>
        </w:rPr>
        <w:t>14.5.1 竣工结算申请</w:t>
      </w:r>
      <w:bookmarkEnd w:id="118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除专用合同条件另有约定外，竣工结算申请单应包括以下内容：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竣工结算合同价格；</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发包人已支付承包人的款项；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采用第14.6.1项[承包人提供质量保证金的方式]第（2）种方式提供质量保证金的，应当列明应预留的质量保证金金额；采用第14.6.1项[承包人提供质量保证金的方式]中其他方式提供质量保证金的，应当按第14.6款[质量保证金]提供相关文件作为附件；</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发包人应支付承包人的合同价款。</w:t>
      </w:r>
    </w:p>
    <w:p>
      <w:pPr>
        <w:pStyle w:val="87"/>
        <w:spacing w:afterLines="0"/>
        <w:ind w:left="0"/>
        <w:rPr>
          <w:rFonts w:asciiTheme="minorEastAsia" w:hAnsiTheme="minorEastAsia" w:eastAsiaTheme="minorEastAsia" w:cstheme="minorEastAsia"/>
          <w:sz w:val="21"/>
        </w:rPr>
      </w:pPr>
      <w:bookmarkStart w:id="1186" w:name="_Ref4571384"/>
      <w:r>
        <w:rPr>
          <w:rFonts w:hint="eastAsia" w:asciiTheme="minorEastAsia" w:hAnsiTheme="minorEastAsia" w:eastAsiaTheme="minorEastAsia" w:cstheme="minorEastAsia"/>
          <w:sz w:val="21"/>
        </w:rPr>
        <w:t>14.5.2 竣工结算审核</w:t>
      </w:r>
      <w:bookmarkEnd w:id="118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187" w:name="_Ref4618006"/>
      <w:r>
        <w:rPr>
          <w:rFonts w:hint="eastAsia" w:asciiTheme="minorEastAsia" w:hAnsiTheme="minorEastAsia" w:eastAsiaTheme="minorEastAsia" w:cstheme="minorEastAsia"/>
          <w:sz w:val="21"/>
          <w:szCs w:val="21"/>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bookmarkEnd w:id="118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对发包人签认的竣工付款证书有异议的，对于有异议部分应在收到发包人签认的竣工付款证书后7天内提出异议，并由合同当事人按照专用合同条件约定的方式和程序进行复核，或按照第20条[争议解决]约定处理。对于无异议部分，发包人应签发临时竣工付款证书，并按本款第（2）项完成付款。承包人逾期未提出异议的，视为认可发包人的审批结果。</w:t>
      </w:r>
    </w:p>
    <w:p>
      <w:pPr>
        <w:pStyle w:val="87"/>
        <w:spacing w:afterLines="0"/>
        <w:ind w:left="0"/>
        <w:rPr>
          <w:rFonts w:asciiTheme="minorEastAsia" w:hAnsiTheme="minorEastAsia" w:eastAsiaTheme="minorEastAsia" w:cstheme="minorEastAsia"/>
          <w:sz w:val="21"/>
        </w:rPr>
      </w:pPr>
      <w:bookmarkStart w:id="1188" w:name="_Ref15484305"/>
      <w:r>
        <w:rPr>
          <w:rFonts w:hint="eastAsia" w:asciiTheme="minorEastAsia" w:hAnsiTheme="minorEastAsia" w:eastAsiaTheme="minorEastAsia" w:cstheme="minorEastAsia"/>
          <w:sz w:val="21"/>
        </w:rPr>
        <w:t>14.5.3 扫尾工作清单</w:t>
      </w:r>
      <w:bookmarkEnd w:id="118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经双方协商，部分工作在工程竣工验收后进行的，承包人应当编制扫尾工作清单，扫尾工作清单中应当列明承包人应当完成的扫尾工作的内容及完成时间。</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承包人完成扫尾工作清单中的内容应取得的费用包含在第14.5.1项[竣工结算申请]及第14.5.2项[竣工结算审核]中一并结算。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扫尾工作的缺陷责任期按第11条[缺陷责任与保修]处理。承包人未能按照扫尾工作清单约定的完成时间完成扫尾工作的，视为承包人原因导致的工程质量缺陷按照第11.3款[缺陷调查]处理。</w:t>
      </w:r>
    </w:p>
    <w:p>
      <w:pPr>
        <w:pStyle w:val="86"/>
        <w:widowControl/>
        <w:spacing w:afterLines="0"/>
        <w:ind w:left="0"/>
        <w:rPr>
          <w:rFonts w:asciiTheme="minorEastAsia" w:hAnsiTheme="minorEastAsia" w:eastAsiaTheme="minorEastAsia" w:cstheme="minorEastAsia"/>
          <w:b w:val="0"/>
          <w:bCs/>
          <w:sz w:val="21"/>
          <w:szCs w:val="21"/>
        </w:rPr>
      </w:pPr>
      <w:bookmarkStart w:id="1189" w:name="_Toc54862297"/>
      <w:bookmarkStart w:id="1190" w:name="_Toc113958562"/>
      <w:bookmarkStart w:id="1191" w:name="_Ref4571100"/>
      <w:bookmarkStart w:id="1192" w:name="_Ref15395020"/>
      <w:bookmarkStart w:id="1193" w:name="_Ref4617592"/>
      <w:bookmarkStart w:id="1194" w:name="_Ref4617582"/>
      <w:bookmarkStart w:id="1195" w:name="_Ref4571127"/>
      <w:bookmarkStart w:id="1196" w:name="_Toc2611"/>
      <w:bookmarkStart w:id="1197" w:name="_Ref4582115"/>
      <w:bookmarkStart w:id="1198" w:name="_Hlk15394931"/>
      <w:r>
        <w:rPr>
          <w:rFonts w:hint="eastAsia" w:asciiTheme="minorEastAsia" w:hAnsiTheme="minorEastAsia" w:eastAsiaTheme="minorEastAsia" w:cstheme="minorEastAsia"/>
          <w:b w:val="0"/>
          <w:bCs/>
          <w:sz w:val="21"/>
          <w:szCs w:val="21"/>
        </w:rPr>
        <w:t>14.6 质量保证金</w:t>
      </w:r>
      <w:bookmarkEnd w:id="1177"/>
      <w:bookmarkEnd w:id="1178"/>
      <w:bookmarkEnd w:id="1189"/>
      <w:bookmarkEnd w:id="1190"/>
      <w:bookmarkEnd w:id="1191"/>
      <w:bookmarkEnd w:id="1192"/>
      <w:bookmarkEnd w:id="1193"/>
      <w:bookmarkEnd w:id="1194"/>
      <w:bookmarkEnd w:id="1195"/>
      <w:bookmarkEnd w:id="1196"/>
      <w:bookmarkEnd w:id="1197"/>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经合同当事人协商一致提供质量保证金的，应在专用合同条件中予以明确。在工程项目竣工前，承包人已经提供履约担保的，发包人不得同时要求承包人提供质量保证金。</w:t>
      </w:r>
    </w:p>
    <w:bookmarkEnd w:id="1198"/>
    <w:p>
      <w:pPr>
        <w:pStyle w:val="87"/>
        <w:spacing w:afterLines="0"/>
        <w:ind w:left="0"/>
        <w:rPr>
          <w:rFonts w:asciiTheme="minorEastAsia" w:hAnsiTheme="minorEastAsia" w:eastAsiaTheme="minorEastAsia" w:cstheme="minorEastAsia"/>
          <w:sz w:val="21"/>
        </w:rPr>
      </w:pPr>
      <w:bookmarkStart w:id="1199" w:name="_Ref531955069"/>
      <w:bookmarkStart w:id="1200" w:name="_Ref531957153"/>
      <w:r>
        <w:rPr>
          <w:rFonts w:hint="eastAsia" w:asciiTheme="minorEastAsia" w:hAnsiTheme="minorEastAsia" w:eastAsiaTheme="minorEastAsia" w:cstheme="minorEastAsia"/>
          <w:sz w:val="21"/>
        </w:rPr>
        <w:t>14.6.1 承包人提供质量保证金的方式</w:t>
      </w:r>
      <w:bookmarkEnd w:id="119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承包人提供质量保证金有以下三种方式：</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1" w:name="_Ref531955096"/>
      <w:r>
        <w:rPr>
          <w:rFonts w:hint="eastAsia" w:asciiTheme="minorEastAsia" w:hAnsiTheme="minorEastAsia" w:eastAsiaTheme="minorEastAsia" w:cstheme="minorEastAsia"/>
          <w:sz w:val="21"/>
          <w:szCs w:val="21"/>
        </w:rPr>
        <w:t>（1） 提交工程质量保证担保；</w:t>
      </w:r>
      <w:bookmarkEnd w:id="1201"/>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2" w:name="_Ref531955107"/>
      <w:r>
        <w:rPr>
          <w:rFonts w:hint="eastAsia" w:asciiTheme="minorEastAsia" w:hAnsiTheme="minorEastAsia" w:eastAsiaTheme="minorEastAsia" w:cstheme="minorEastAsia"/>
          <w:sz w:val="21"/>
          <w:szCs w:val="21"/>
        </w:rPr>
        <w:t>（2） 预留相应比例的工程款；</w:t>
      </w:r>
      <w:bookmarkEnd w:id="1202"/>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3" w:name="_Ref531955117"/>
      <w:r>
        <w:rPr>
          <w:rFonts w:hint="eastAsia" w:asciiTheme="minorEastAsia" w:hAnsiTheme="minorEastAsia" w:eastAsiaTheme="minorEastAsia" w:cstheme="minorEastAsia"/>
          <w:sz w:val="21"/>
          <w:szCs w:val="21"/>
        </w:rPr>
        <w:t>（3） 双方约定的其他方式。</w:t>
      </w:r>
      <w:bookmarkEnd w:id="120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pPr>
        <w:pStyle w:val="87"/>
        <w:spacing w:afterLines="0"/>
        <w:ind w:left="0"/>
        <w:rPr>
          <w:rFonts w:asciiTheme="minorEastAsia" w:hAnsiTheme="minorEastAsia" w:eastAsiaTheme="minorEastAsia" w:cstheme="minorEastAsia"/>
          <w:sz w:val="21"/>
        </w:rPr>
      </w:pPr>
      <w:bookmarkStart w:id="1204" w:name="_Ref15419738"/>
      <w:bookmarkStart w:id="1205" w:name="_Ref18931667"/>
      <w:r>
        <w:rPr>
          <w:rFonts w:hint="eastAsia" w:asciiTheme="minorEastAsia" w:hAnsiTheme="minorEastAsia" w:eastAsiaTheme="minorEastAsia" w:cstheme="minorEastAsia"/>
          <w:sz w:val="21"/>
        </w:rPr>
        <w:t>14.6.2 质量保证金的预留</w:t>
      </w:r>
      <w:bookmarkEnd w:id="1204"/>
      <w:bookmarkEnd w:id="120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双方约定采用预留相应比例的工程款方式提供质量保证金的，质量保证金的预留有以下三种方式：</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6" w:name="_Hlk18840714"/>
      <w:bookmarkStart w:id="1207" w:name="_Ref531955143"/>
      <w:r>
        <w:rPr>
          <w:rFonts w:hint="eastAsia" w:asciiTheme="minorEastAsia" w:hAnsiTheme="minorEastAsia" w:eastAsiaTheme="minorEastAsia" w:cstheme="minorEastAsia"/>
          <w:sz w:val="21"/>
          <w:szCs w:val="21"/>
        </w:rPr>
        <w:t>（1） 按专用合同条件的约定在支付工程进度款时逐次预留，直至预留的质量保证金总额达到专用合同条件约定的金额或比例为止</w:t>
      </w:r>
      <w:bookmarkEnd w:id="1206"/>
      <w:r>
        <w:rPr>
          <w:rFonts w:hint="eastAsia" w:asciiTheme="minorEastAsia" w:hAnsiTheme="minorEastAsia" w:eastAsiaTheme="minorEastAsia" w:cstheme="minorEastAsia"/>
          <w:sz w:val="21"/>
          <w:szCs w:val="21"/>
        </w:rPr>
        <w:t>。在此情形下，质量保证金的计算基数不包括预付款的支付、扣回以及价格调整的金额；</w:t>
      </w:r>
      <w:bookmarkEnd w:id="1207"/>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8" w:name="_Ref531955151"/>
      <w:r>
        <w:rPr>
          <w:rFonts w:hint="eastAsia" w:asciiTheme="minorEastAsia" w:hAnsiTheme="minorEastAsia" w:eastAsiaTheme="minorEastAsia" w:cstheme="minorEastAsia"/>
          <w:sz w:val="21"/>
          <w:szCs w:val="21"/>
        </w:rPr>
        <w:t>（2） 工程竣工结算时一次性预留质量保证金；</w:t>
      </w:r>
      <w:bookmarkEnd w:id="1208"/>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09" w:name="_Ref531955161"/>
      <w:r>
        <w:rPr>
          <w:rFonts w:hint="eastAsia" w:asciiTheme="minorEastAsia" w:hAnsiTheme="minorEastAsia" w:eastAsiaTheme="minorEastAsia" w:cstheme="minorEastAsia"/>
          <w:sz w:val="21"/>
          <w:szCs w:val="21"/>
        </w:rPr>
        <w:t>（3） 双方约定的其他预留方式。</w:t>
      </w:r>
      <w:bookmarkEnd w:id="120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87"/>
        <w:spacing w:afterLines="0"/>
        <w:ind w:left="0"/>
        <w:rPr>
          <w:rFonts w:asciiTheme="minorEastAsia" w:hAnsiTheme="minorEastAsia" w:eastAsiaTheme="minorEastAsia" w:cstheme="minorEastAsia"/>
          <w:sz w:val="21"/>
        </w:rPr>
      </w:pPr>
      <w:bookmarkStart w:id="1210" w:name="_Ref532690096"/>
      <w:bookmarkStart w:id="1211" w:name="_Ref4571243"/>
      <w:r>
        <w:rPr>
          <w:rFonts w:hint="eastAsia" w:asciiTheme="minorEastAsia" w:hAnsiTheme="minorEastAsia" w:eastAsiaTheme="minorEastAsia" w:cstheme="minorEastAsia"/>
          <w:sz w:val="21"/>
        </w:rPr>
        <w:t>14.6.3 质量保证金的</w:t>
      </w:r>
      <w:bookmarkEnd w:id="1210"/>
      <w:r>
        <w:rPr>
          <w:rFonts w:hint="eastAsia" w:asciiTheme="minorEastAsia" w:hAnsiTheme="minorEastAsia" w:eastAsiaTheme="minorEastAsia" w:cstheme="minorEastAsia"/>
          <w:sz w:val="21"/>
        </w:rPr>
        <w:t>返还</w:t>
      </w:r>
      <w:bookmarkEnd w:id="121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缺陷责任期内，承包人认真履行合同约定的责任，缺陷责任期满，发包人根据第11.6款[缺陷责任期终止证书]向承包人颁发缺陷责任期终止证书后，承包人可向发包人申请返还质量保证金。</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在接到承包人返还质量保证金申请后，应于7天内将质量保证金返还承包人，逾期未返还的，应承担违约责任。发包人在接到承包人返还质量保证金申请后7天内不予答复，视同认可承包人的返还质量保证金申请。</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发包人和承包人对质量保证金预留、返还以及工程维修质量、费用有争议的，按本合同第20条[争议解决]约定的争议和纠纷解决程序处理。</w:t>
      </w:r>
    </w:p>
    <w:bookmarkEnd w:id="1200"/>
    <w:p>
      <w:pPr>
        <w:pStyle w:val="86"/>
        <w:widowControl/>
        <w:spacing w:afterLines="0"/>
        <w:ind w:left="0"/>
        <w:rPr>
          <w:rFonts w:asciiTheme="minorEastAsia" w:hAnsiTheme="minorEastAsia" w:eastAsiaTheme="minorEastAsia" w:cstheme="minorEastAsia"/>
          <w:b w:val="0"/>
          <w:bCs/>
          <w:sz w:val="21"/>
          <w:szCs w:val="21"/>
        </w:rPr>
      </w:pPr>
      <w:bookmarkStart w:id="1212" w:name="_Toc113958563"/>
      <w:bookmarkStart w:id="1213" w:name="_Toc3027"/>
      <w:bookmarkStart w:id="1214" w:name="_Ref531957339"/>
      <w:bookmarkStart w:id="1215" w:name="_Toc54862298"/>
      <w:bookmarkStart w:id="1216" w:name="_Ref531957341"/>
      <w:r>
        <w:rPr>
          <w:rFonts w:hint="eastAsia" w:asciiTheme="minorEastAsia" w:hAnsiTheme="minorEastAsia" w:eastAsiaTheme="minorEastAsia" w:cstheme="minorEastAsia"/>
          <w:b w:val="0"/>
          <w:bCs/>
          <w:sz w:val="21"/>
          <w:szCs w:val="21"/>
        </w:rPr>
        <w:t>14.7 最终结清</w:t>
      </w:r>
      <w:bookmarkEnd w:id="1212"/>
      <w:bookmarkEnd w:id="1213"/>
      <w:bookmarkEnd w:id="1214"/>
      <w:bookmarkEnd w:id="1215"/>
      <w:bookmarkEnd w:id="1216"/>
      <w:r>
        <w:rPr>
          <w:rFonts w:hint="eastAsia" w:asciiTheme="minorEastAsia" w:hAnsiTheme="minorEastAsia" w:eastAsiaTheme="minorEastAsia" w:cstheme="minorEastAsia"/>
          <w:b w:val="0"/>
          <w:bCs/>
          <w:sz w:val="21"/>
          <w:szCs w:val="21"/>
        </w:rPr>
        <w:t xml:space="preserve"> </w:t>
      </w:r>
    </w:p>
    <w:p>
      <w:pPr>
        <w:pStyle w:val="87"/>
        <w:spacing w:afterLines="0"/>
        <w:ind w:left="0"/>
        <w:rPr>
          <w:rFonts w:asciiTheme="minorEastAsia" w:hAnsiTheme="minorEastAsia" w:eastAsiaTheme="minorEastAsia" w:cstheme="minorEastAsia"/>
          <w:sz w:val="21"/>
        </w:rPr>
      </w:pPr>
      <w:bookmarkStart w:id="1217" w:name="_Ref531957350"/>
      <w:r>
        <w:rPr>
          <w:rFonts w:hint="eastAsia" w:asciiTheme="minorEastAsia" w:hAnsiTheme="minorEastAsia" w:eastAsiaTheme="minorEastAsia" w:cstheme="minorEastAsia"/>
          <w:sz w:val="21"/>
        </w:rPr>
        <w:t>14.7.1 最终结清申请</w:t>
      </w:r>
      <w:bookmarkEnd w:id="1217"/>
      <w:r>
        <w:rPr>
          <w:rFonts w:hint="eastAsia" w:asciiTheme="minorEastAsia" w:hAnsiTheme="minorEastAsia" w:eastAsiaTheme="minorEastAsia" w:cstheme="minorEastAsia"/>
          <w:sz w:val="21"/>
        </w:rPr>
        <w:t>单</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除专用合同条件另有约定外，承包人应在缺陷责任期终止证书颁发后7天内，按专用合同条件约定的份数向发包人提交最终结清申请单，并提供相关证明材料。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除专用合同条件另有约定外，最终结清申请单应列明质量保证金、应扣除的质量保证金、缺陷责任期内发生的增减费用。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发包人对最终结清申请单内容有异议的，有权要求承包人进行修正和提供补充资料，承包人应向发包人提交修正后的最终结清申请单。</w:t>
      </w:r>
    </w:p>
    <w:p>
      <w:pPr>
        <w:pStyle w:val="87"/>
        <w:spacing w:afterLines="0"/>
        <w:ind w:left="0"/>
        <w:rPr>
          <w:rFonts w:asciiTheme="minorEastAsia" w:hAnsiTheme="minorEastAsia" w:eastAsiaTheme="minorEastAsia" w:cstheme="minorEastAsia"/>
          <w:sz w:val="21"/>
        </w:rPr>
      </w:pPr>
      <w:bookmarkStart w:id="1218" w:name="_Ref531957369"/>
      <w:bookmarkStart w:id="1219" w:name="_Ref4624099"/>
      <w:r>
        <w:rPr>
          <w:rFonts w:hint="eastAsia" w:asciiTheme="minorEastAsia" w:hAnsiTheme="minorEastAsia" w:eastAsiaTheme="minorEastAsia" w:cstheme="minorEastAsia"/>
          <w:sz w:val="21"/>
        </w:rPr>
        <w:t>14.7.2 最终结清证书</w:t>
      </w:r>
      <w:bookmarkEnd w:id="1218"/>
      <w:r>
        <w:rPr>
          <w:rFonts w:hint="eastAsia" w:asciiTheme="minorEastAsia" w:hAnsiTheme="minorEastAsia" w:eastAsiaTheme="minorEastAsia" w:cstheme="minorEastAsia"/>
          <w:sz w:val="21"/>
        </w:rPr>
        <w:t>和支付</w:t>
      </w:r>
      <w:bookmarkEnd w:id="121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除专用合同条件另有约定外，发包人应在颁发最终结清证书后7天内完成支付。发包人逾期支付的，按照贷款市场报价利率（LPR）支付利息；逾期支付超过56天的，按照贷款市场报价利率（LPR）的两倍支付利息。</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承包人对发包人颁发的最终结清证书有异议的，按第20条[争议解决]的约定办理。</w:t>
      </w:r>
    </w:p>
    <w:p>
      <w:pPr>
        <w:pStyle w:val="85"/>
        <w:numPr>
          <w:ilvl w:val="0"/>
          <w:numId w:val="0"/>
        </w:numPr>
        <w:adjustRightInd w:val="0"/>
        <w:snapToGrid w:val="0"/>
        <w:rPr>
          <w:rFonts w:asciiTheme="minorEastAsia" w:hAnsiTheme="minorEastAsia" w:eastAsiaTheme="minorEastAsia" w:cstheme="minorEastAsia"/>
          <w:bCs/>
          <w:sz w:val="21"/>
          <w:szCs w:val="21"/>
        </w:rPr>
      </w:pPr>
      <w:bookmarkStart w:id="1220" w:name="_Toc113958564"/>
      <w:bookmarkStart w:id="1221" w:name="_Ref11920396"/>
      <w:bookmarkStart w:id="1222" w:name="_Toc54862299"/>
      <w:bookmarkStart w:id="1223" w:name="_Toc23274"/>
      <w:bookmarkStart w:id="1224" w:name="_Ref11920407"/>
      <w:bookmarkStart w:id="1225" w:name="_Ref11874957"/>
      <w:r>
        <w:rPr>
          <w:rFonts w:hint="eastAsia" w:asciiTheme="minorEastAsia" w:hAnsiTheme="minorEastAsia" w:eastAsiaTheme="minorEastAsia" w:cstheme="minorEastAsia"/>
          <w:bCs/>
          <w:sz w:val="21"/>
          <w:szCs w:val="21"/>
        </w:rPr>
        <w:t>第15条 违约</w:t>
      </w:r>
      <w:bookmarkEnd w:id="1034"/>
      <w:bookmarkEnd w:id="1040"/>
      <w:bookmarkEnd w:id="1041"/>
      <w:bookmarkEnd w:id="1220"/>
      <w:bookmarkEnd w:id="1221"/>
      <w:bookmarkEnd w:id="1222"/>
      <w:bookmarkEnd w:id="1223"/>
      <w:bookmarkEnd w:id="1224"/>
      <w:bookmarkEnd w:id="1225"/>
    </w:p>
    <w:p>
      <w:pPr>
        <w:pStyle w:val="86"/>
        <w:widowControl/>
        <w:spacing w:afterLines="0"/>
        <w:ind w:left="0"/>
        <w:rPr>
          <w:rFonts w:asciiTheme="minorEastAsia" w:hAnsiTheme="minorEastAsia" w:eastAsiaTheme="minorEastAsia" w:cstheme="minorEastAsia"/>
          <w:b w:val="0"/>
          <w:bCs/>
          <w:sz w:val="21"/>
          <w:szCs w:val="21"/>
        </w:rPr>
      </w:pPr>
      <w:bookmarkStart w:id="1226" w:name="_Toc24941"/>
      <w:bookmarkStart w:id="1227" w:name="_Toc54862300"/>
      <w:bookmarkStart w:id="1228" w:name="_Ref4534399"/>
      <w:bookmarkStart w:id="1229" w:name="_Toc113958565"/>
      <w:bookmarkStart w:id="1230" w:name="_Ref4534384"/>
      <w:bookmarkStart w:id="1231" w:name="_Ref4534411"/>
      <w:bookmarkStart w:id="1232" w:name="_Ref4534376"/>
      <w:r>
        <w:rPr>
          <w:rFonts w:hint="eastAsia" w:asciiTheme="minorEastAsia" w:hAnsiTheme="minorEastAsia" w:eastAsiaTheme="minorEastAsia" w:cstheme="minorEastAsia"/>
          <w:b w:val="0"/>
          <w:bCs/>
          <w:sz w:val="21"/>
          <w:szCs w:val="21"/>
        </w:rPr>
        <w:t>15.1 发包人违约</w:t>
      </w:r>
      <w:bookmarkEnd w:id="1226"/>
      <w:bookmarkEnd w:id="1227"/>
      <w:bookmarkEnd w:id="1228"/>
      <w:bookmarkEnd w:id="1229"/>
      <w:bookmarkEnd w:id="1230"/>
      <w:bookmarkEnd w:id="1231"/>
      <w:bookmarkEnd w:id="1232"/>
    </w:p>
    <w:p>
      <w:pPr>
        <w:pStyle w:val="87"/>
        <w:spacing w:afterLines="0"/>
        <w:ind w:left="0"/>
        <w:rPr>
          <w:rFonts w:asciiTheme="minorEastAsia" w:hAnsiTheme="minorEastAsia" w:eastAsiaTheme="minorEastAsia" w:cstheme="minorEastAsia"/>
          <w:sz w:val="21"/>
        </w:rPr>
      </w:pPr>
      <w:bookmarkStart w:id="1233" w:name="_Ref3841087"/>
      <w:r>
        <w:rPr>
          <w:rFonts w:hint="eastAsia" w:asciiTheme="minorEastAsia" w:hAnsiTheme="minorEastAsia" w:eastAsiaTheme="minorEastAsia" w:cstheme="minorEastAsia"/>
          <w:sz w:val="21"/>
        </w:rPr>
        <w:t>15.1.1 发包人违约的情形</w:t>
      </w:r>
      <w:bookmarkEnd w:id="123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除专用合同条件另有约定外，在合同履行过程中发生的下列情形，属于发包人违约：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 因发包人原因导致开始工作日期延误的；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因发包人原因未能按合同约定支付合同价款的；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发包人违反第13.1.1项约定，自行实施被取消的工作或转由他人实施的；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因发包人违反合同约定造成工程暂停施工的；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工程师无正当理由没有在约定期限内发出复工指示，导致承包人无法复工的；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发包人明确表示或者以其行为表明不履行合同主要义务的；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发包人未能按照合同约定履行其他义务的。</w:t>
      </w:r>
    </w:p>
    <w:p>
      <w:pPr>
        <w:pStyle w:val="87"/>
        <w:spacing w:afterLines="0"/>
        <w:ind w:left="0"/>
        <w:rPr>
          <w:rFonts w:asciiTheme="minorEastAsia" w:hAnsiTheme="minorEastAsia" w:eastAsiaTheme="minorEastAsia" w:cstheme="minorEastAsia"/>
          <w:sz w:val="21"/>
        </w:rPr>
      </w:pPr>
      <w:bookmarkStart w:id="1234" w:name="_Ref4535692"/>
      <w:r>
        <w:rPr>
          <w:rFonts w:hint="eastAsia" w:asciiTheme="minorEastAsia" w:hAnsiTheme="minorEastAsia" w:eastAsiaTheme="minorEastAsia" w:cstheme="minorEastAsia"/>
          <w:sz w:val="21"/>
        </w:rPr>
        <w:t>15.1.2 通知改正</w:t>
      </w:r>
      <w:bookmarkEnd w:id="1234"/>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35" w:name="_Hlk16248297"/>
      <w:r>
        <w:rPr>
          <w:rFonts w:hint="eastAsia" w:asciiTheme="minorEastAsia" w:hAnsiTheme="minorEastAsia" w:eastAsiaTheme="minorEastAsia" w:cstheme="minorEastAsia"/>
          <w:sz w:val="21"/>
          <w:szCs w:val="21"/>
        </w:rPr>
        <w:t>发包人发生除第15.1.1项第(6)目以外的违约情况时，承包人可向发包人发出通知，要求发包人采取有效措施纠正违约行为。发包人收到承包人通知后28天内仍不纠正违约行为的，承包人有权暂停相应部位工程实施，并通知工程师。</w:t>
      </w:r>
      <w:bookmarkEnd w:id="1235"/>
    </w:p>
    <w:p>
      <w:pPr>
        <w:pStyle w:val="87"/>
        <w:spacing w:afterLines="0"/>
        <w:ind w:left="0"/>
        <w:rPr>
          <w:rFonts w:asciiTheme="minorEastAsia" w:hAnsiTheme="minorEastAsia" w:eastAsiaTheme="minorEastAsia" w:cstheme="minorEastAsia"/>
          <w:sz w:val="21"/>
        </w:rPr>
      </w:pPr>
      <w:bookmarkStart w:id="1236" w:name="_Ref3841132"/>
      <w:r>
        <w:rPr>
          <w:rFonts w:hint="eastAsia" w:asciiTheme="minorEastAsia" w:hAnsiTheme="minorEastAsia" w:eastAsiaTheme="minorEastAsia" w:cstheme="minorEastAsia"/>
          <w:sz w:val="21"/>
        </w:rPr>
        <w:t>15.1.3 发包人违约的责任</w:t>
      </w:r>
      <w:bookmarkEnd w:id="1236"/>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37" w:name="_Hlk16247984"/>
      <w:r>
        <w:rPr>
          <w:rFonts w:hint="eastAsia" w:asciiTheme="minorEastAsia" w:hAnsiTheme="minorEastAsia" w:eastAsiaTheme="minorEastAsia" w:cstheme="minorEastAsia"/>
          <w:sz w:val="21"/>
          <w:szCs w:val="21"/>
        </w:rPr>
        <w:t>发包人应承担因其违约给承包人增加的费用和（或）延误的工期，并支付承包人合理的利润。此外，合同当事人可在专用合同条件中另行约定发包人违约责任的承担方式和计算方法。</w:t>
      </w:r>
      <w:bookmarkEnd w:id="1237"/>
    </w:p>
    <w:p>
      <w:pPr>
        <w:pStyle w:val="86"/>
        <w:widowControl/>
        <w:spacing w:afterLines="0"/>
        <w:ind w:left="0"/>
        <w:rPr>
          <w:rFonts w:asciiTheme="minorEastAsia" w:hAnsiTheme="minorEastAsia" w:eastAsiaTheme="minorEastAsia" w:cstheme="minorEastAsia"/>
          <w:b w:val="0"/>
          <w:bCs/>
          <w:sz w:val="21"/>
          <w:szCs w:val="21"/>
        </w:rPr>
      </w:pPr>
      <w:bookmarkStart w:id="1238" w:name="_Toc113958566"/>
      <w:bookmarkStart w:id="1239" w:name="_Toc25470"/>
      <w:bookmarkStart w:id="1240" w:name="_Toc54862301"/>
      <w:bookmarkStart w:id="1241" w:name="_Ref11958663"/>
      <w:bookmarkStart w:id="1242" w:name="_Ref11958660"/>
      <w:r>
        <w:rPr>
          <w:rFonts w:hint="eastAsia" w:asciiTheme="minorEastAsia" w:hAnsiTheme="minorEastAsia" w:eastAsiaTheme="minorEastAsia" w:cstheme="minorEastAsia"/>
          <w:b w:val="0"/>
          <w:bCs/>
          <w:sz w:val="21"/>
          <w:szCs w:val="21"/>
        </w:rPr>
        <w:t>15.2 承包人违约</w:t>
      </w:r>
      <w:bookmarkEnd w:id="1238"/>
      <w:bookmarkEnd w:id="1239"/>
      <w:bookmarkEnd w:id="1240"/>
      <w:bookmarkEnd w:id="1241"/>
      <w:bookmarkEnd w:id="1242"/>
    </w:p>
    <w:p>
      <w:pPr>
        <w:pStyle w:val="87"/>
        <w:spacing w:afterLines="0"/>
        <w:ind w:left="0"/>
        <w:rPr>
          <w:rFonts w:asciiTheme="minorEastAsia" w:hAnsiTheme="minorEastAsia" w:eastAsiaTheme="minorEastAsia" w:cstheme="minorEastAsia"/>
          <w:sz w:val="21"/>
        </w:rPr>
      </w:pPr>
      <w:bookmarkStart w:id="1243" w:name="_Ref3841153"/>
      <w:r>
        <w:rPr>
          <w:rFonts w:hint="eastAsia" w:asciiTheme="minorEastAsia" w:hAnsiTheme="minorEastAsia" w:eastAsiaTheme="minorEastAsia" w:cstheme="minorEastAsia"/>
          <w:sz w:val="21"/>
        </w:rPr>
        <w:t>15.2.1 承包人违约的情形</w:t>
      </w:r>
      <w:bookmarkEnd w:id="124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除专用合同条件另有约定外，在履行合同过程中发生的下列情况之一的，属于承包人违约：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承包人的原因导致的承包人文件、实施和竣工的工程不符合法律法规、工程质量验收标准以及合同约定；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承包人违反合同约定进行转包或违法分包的；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承包人违反约定采购和使用不合格材料或工程设备；</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因承包人原因导致工程质量不符合合同要求的；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承包人未经工程师批准，擅自将已按合同约定进入施工现场的施工设备、临时设施或材料撤离施工现场；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承包人未能按项目进度计划及时完成合同约定的工作，造成工期延误；</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由于承包人原因未能通过竣工试验或竣工后试验的；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承包人在缺陷责任期及保修期内，未能在合理期限对工程缺陷进行修复，或拒绝按发包人指示进行修复的；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 承包人明确表示或者以其行为表明不履行合同主要义务的；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 承包人未能按照合同约定履行其他义务的。</w:t>
      </w:r>
    </w:p>
    <w:p>
      <w:pPr>
        <w:pStyle w:val="87"/>
        <w:spacing w:afterLines="0"/>
        <w:ind w:left="0"/>
        <w:rPr>
          <w:rFonts w:asciiTheme="minorEastAsia" w:hAnsiTheme="minorEastAsia" w:eastAsiaTheme="minorEastAsia" w:cstheme="minorEastAsia"/>
          <w:sz w:val="21"/>
        </w:rPr>
      </w:pPr>
      <w:bookmarkStart w:id="1244" w:name="_Ref531958512"/>
      <w:r>
        <w:rPr>
          <w:rFonts w:hint="eastAsia" w:asciiTheme="minorEastAsia" w:hAnsiTheme="minorEastAsia" w:eastAsiaTheme="minorEastAsia" w:cstheme="minorEastAsia"/>
          <w:sz w:val="21"/>
        </w:rPr>
        <w:t>15.2.2 通知改正</w:t>
      </w:r>
      <w:bookmarkEnd w:id="124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承包人发生除第15.2.1项第(7)目、第(9)目约定以外的其他违约情况时，工程师可在专用合同条件约定的合理期限内向承包人发出整改通知，要求其在指定的期限内改正。</w:t>
      </w:r>
    </w:p>
    <w:p>
      <w:pPr>
        <w:pStyle w:val="87"/>
        <w:spacing w:afterLines="0"/>
        <w:ind w:left="0"/>
        <w:rPr>
          <w:rFonts w:asciiTheme="minorEastAsia" w:hAnsiTheme="minorEastAsia" w:eastAsiaTheme="minorEastAsia" w:cstheme="minorEastAsia"/>
          <w:sz w:val="21"/>
        </w:rPr>
      </w:pPr>
      <w:bookmarkStart w:id="1245" w:name="_Ref3841166"/>
      <w:r>
        <w:rPr>
          <w:rFonts w:hint="eastAsia" w:asciiTheme="minorEastAsia" w:hAnsiTheme="minorEastAsia" w:eastAsiaTheme="minorEastAsia" w:cstheme="minorEastAsia"/>
          <w:sz w:val="21"/>
        </w:rPr>
        <w:t>15.2.3 承包人违约的责任</w:t>
      </w:r>
      <w:bookmarkEnd w:id="124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承包人应承担因其违约行为而增加的费用和（或）延误的工期。此外，合同当事人可在专用合同条件中另行约定承包人违约责任的承担方式和计算方法。</w:t>
      </w:r>
    </w:p>
    <w:p>
      <w:pPr>
        <w:pStyle w:val="86"/>
        <w:widowControl/>
        <w:spacing w:afterLines="0"/>
        <w:ind w:left="0"/>
        <w:rPr>
          <w:rFonts w:asciiTheme="minorEastAsia" w:hAnsiTheme="minorEastAsia" w:eastAsiaTheme="minorEastAsia" w:cstheme="minorEastAsia"/>
          <w:b w:val="0"/>
          <w:bCs/>
          <w:sz w:val="21"/>
          <w:szCs w:val="21"/>
        </w:rPr>
      </w:pPr>
      <w:bookmarkStart w:id="1246" w:name="_Toc54862302"/>
      <w:bookmarkStart w:id="1247" w:name="_Toc2477"/>
      <w:bookmarkStart w:id="1248" w:name="_Toc113958567"/>
      <w:r>
        <w:rPr>
          <w:rFonts w:hint="eastAsia" w:asciiTheme="minorEastAsia" w:hAnsiTheme="minorEastAsia" w:eastAsiaTheme="minorEastAsia" w:cstheme="minorEastAsia"/>
          <w:b w:val="0"/>
          <w:bCs/>
          <w:sz w:val="21"/>
          <w:szCs w:val="21"/>
        </w:rPr>
        <w:t>15.3 第三人造成的违约</w:t>
      </w:r>
      <w:bookmarkEnd w:id="1246"/>
      <w:bookmarkEnd w:id="1247"/>
      <w:bookmarkEnd w:id="124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在履行合同过程中，一方当事人因第三人的原因造成违约的，应当向对方当事人承担违约责任。一方当事人和第三人之间的纠纷，依照法律规定或者按照约定解决。</w:t>
      </w:r>
    </w:p>
    <w:p>
      <w:pPr>
        <w:pStyle w:val="85"/>
        <w:numPr>
          <w:ilvl w:val="0"/>
          <w:numId w:val="0"/>
        </w:numPr>
        <w:adjustRightInd w:val="0"/>
        <w:snapToGrid w:val="0"/>
        <w:rPr>
          <w:rFonts w:asciiTheme="minorEastAsia" w:hAnsiTheme="minorEastAsia" w:eastAsiaTheme="minorEastAsia" w:cstheme="minorEastAsia"/>
          <w:bCs/>
          <w:sz w:val="21"/>
          <w:szCs w:val="21"/>
        </w:rPr>
      </w:pPr>
      <w:bookmarkStart w:id="1249" w:name="_Toc2664"/>
      <w:bookmarkStart w:id="1250" w:name="_Toc113958568"/>
      <w:bookmarkStart w:id="1251" w:name="_Toc54862303"/>
      <w:bookmarkStart w:id="1252" w:name="_Ref4510572"/>
      <w:bookmarkStart w:id="1253" w:name="_Ref532142069"/>
      <w:bookmarkStart w:id="1254" w:name="_Ref3840457"/>
      <w:r>
        <w:rPr>
          <w:rFonts w:hint="eastAsia" w:asciiTheme="minorEastAsia" w:hAnsiTheme="minorEastAsia" w:eastAsiaTheme="minorEastAsia" w:cstheme="minorEastAsia"/>
          <w:bCs/>
          <w:sz w:val="21"/>
          <w:szCs w:val="21"/>
        </w:rPr>
        <w:t>第16条 合同解除</w:t>
      </w:r>
      <w:bookmarkEnd w:id="1249"/>
      <w:bookmarkEnd w:id="1250"/>
      <w:bookmarkEnd w:id="1251"/>
      <w:bookmarkEnd w:id="1252"/>
    </w:p>
    <w:p>
      <w:pPr>
        <w:pStyle w:val="86"/>
        <w:widowControl/>
        <w:spacing w:afterLines="0"/>
        <w:ind w:left="0"/>
        <w:rPr>
          <w:rFonts w:asciiTheme="minorEastAsia" w:hAnsiTheme="minorEastAsia" w:eastAsiaTheme="minorEastAsia" w:cstheme="minorEastAsia"/>
          <w:b w:val="0"/>
          <w:bCs/>
          <w:sz w:val="21"/>
          <w:szCs w:val="21"/>
        </w:rPr>
      </w:pPr>
      <w:bookmarkStart w:id="1255" w:name="_Toc54862304"/>
      <w:bookmarkStart w:id="1256" w:name="_Ref531958499"/>
      <w:bookmarkStart w:id="1257" w:name="_Toc1302"/>
      <w:bookmarkStart w:id="1258" w:name="_Ref531958502"/>
      <w:bookmarkStart w:id="1259" w:name="_Toc113958569"/>
      <w:r>
        <w:rPr>
          <w:rFonts w:hint="eastAsia" w:asciiTheme="minorEastAsia" w:hAnsiTheme="minorEastAsia" w:eastAsiaTheme="minorEastAsia" w:cstheme="minorEastAsia"/>
          <w:b w:val="0"/>
          <w:bCs/>
          <w:sz w:val="21"/>
          <w:szCs w:val="21"/>
        </w:rPr>
        <w:t>16.1 由发包人解除合同</w:t>
      </w:r>
      <w:bookmarkEnd w:id="1255"/>
      <w:bookmarkEnd w:id="1256"/>
      <w:bookmarkEnd w:id="1257"/>
      <w:bookmarkEnd w:id="1258"/>
      <w:bookmarkEnd w:id="1259"/>
    </w:p>
    <w:p>
      <w:pPr>
        <w:pStyle w:val="87"/>
        <w:spacing w:afterLines="0"/>
        <w:ind w:left="0"/>
        <w:rPr>
          <w:rFonts w:asciiTheme="minorEastAsia" w:hAnsiTheme="minorEastAsia" w:eastAsiaTheme="minorEastAsia" w:cstheme="minorEastAsia"/>
          <w:sz w:val="21"/>
        </w:rPr>
      </w:pPr>
      <w:bookmarkStart w:id="1260" w:name="_Ref4535422"/>
      <w:r>
        <w:rPr>
          <w:rFonts w:hint="eastAsia" w:asciiTheme="minorEastAsia" w:hAnsiTheme="minorEastAsia" w:eastAsiaTheme="minorEastAsia" w:cstheme="minorEastAsia"/>
          <w:sz w:val="21"/>
        </w:rPr>
        <w:t>16.1.1 因承包人违约解除合同</w:t>
      </w:r>
      <w:bookmarkEnd w:id="126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发包人有权基于下列原因，以书面形式通知承包人解除合同，解除通知中应注明是根据第16.1.1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(5)目的情况下，发包人无须提前告知承包人其解除合同意向，可直接发出正式解除合同通知立即解除合同：</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61" w:name="_Ref531958536"/>
      <w:r>
        <w:rPr>
          <w:rFonts w:hint="eastAsia" w:asciiTheme="minorEastAsia" w:hAnsiTheme="minorEastAsia" w:eastAsiaTheme="minorEastAsia" w:cstheme="minorEastAsia"/>
          <w:sz w:val="21"/>
          <w:szCs w:val="21"/>
        </w:rPr>
        <w:t>（1） 承包人未能遵守第4.2款</w:t>
      </w:r>
      <w:bookmarkStart w:id="1262" w:name="_Hlk18839947"/>
      <w:r>
        <w:rPr>
          <w:rFonts w:hint="eastAsia" w:asciiTheme="minorEastAsia" w:hAnsiTheme="minorEastAsia" w:eastAsiaTheme="minorEastAsia" w:cstheme="minorEastAsia"/>
          <w:sz w:val="21"/>
          <w:szCs w:val="21"/>
        </w:rPr>
        <w:t>[履约担保]</w:t>
      </w:r>
      <w:bookmarkEnd w:id="1262"/>
      <w:r>
        <w:rPr>
          <w:rFonts w:hint="eastAsia" w:asciiTheme="minorEastAsia" w:hAnsiTheme="minorEastAsia" w:eastAsiaTheme="minorEastAsia" w:cstheme="minorEastAsia"/>
          <w:sz w:val="21"/>
          <w:szCs w:val="21"/>
        </w:rPr>
        <w:t>的约定；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承包人未能遵守第4.5款[分包]有关分包和转包的约定；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承包人实际进度明显落后于进度计划，并且未按发包人的指令采取措施并修正进度计划；</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工程质量有严重缺陷，承包人无正当理由使修复开始日期拖延达28天以上；</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承包人明确表示或以自己的行为表明不履行合同、或经发包人以书面形式通知其履约后仍未能依约履行合同、或以不适当的方式履行合同；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未能通过的竣工试验、未能通过的竣工后试验，使工程的任何部分和（或）整个工程丧失了主要使用功能、生产功能；</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因承包人的原因暂停工作超过56天且暂停影响到整个工程，或因承包人的原因暂停工作超过182天；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 承包人未能遵守第8.2款[竣工日期]规定，延误超过182天；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 工程师根据第15.2.2项[通知改正]发出整改通知后，承包人在指定的合理期限内仍不纠正违约行为并致使合同目的不能实现的。</w:t>
      </w:r>
    </w:p>
    <w:bookmarkEnd w:id="1261"/>
    <w:p>
      <w:pPr>
        <w:pStyle w:val="87"/>
        <w:spacing w:afterLines="0"/>
        <w:ind w:left="0"/>
        <w:rPr>
          <w:rFonts w:asciiTheme="minorEastAsia" w:hAnsiTheme="minorEastAsia" w:eastAsiaTheme="minorEastAsia" w:cstheme="minorEastAsia"/>
          <w:sz w:val="21"/>
        </w:rPr>
      </w:pPr>
      <w:bookmarkStart w:id="1263" w:name="_Ref3841839"/>
      <w:bookmarkStart w:id="1264" w:name="_Ref4624315"/>
      <w:r>
        <w:rPr>
          <w:rFonts w:hint="eastAsia" w:asciiTheme="minorEastAsia" w:hAnsiTheme="minorEastAsia" w:eastAsiaTheme="minorEastAsia" w:cstheme="minorEastAsia"/>
          <w:sz w:val="21"/>
        </w:rPr>
        <w:t>16.1.2 因承包人违约解除合同后</w:t>
      </w:r>
      <w:bookmarkEnd w:id="1263"/>
      <w:r>
        <w:rPr>
          <w:rFonts w:hint="eastAsia" w:asciiTheme="minorEastAsia" w:hAnsiTheme="minorEastAsia" w:eastAsiaTheme="minorEastAsia" w:cstheme="minorEastAsia"/>
          <w:sz w:val="21"/>
        </w:rPr>
        <w:t>承包人的义务</w:t>
      </w:r>
      <w:bookmarkEnd w:id="1264"/>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合同解除后，承包人应按以下约定执行：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除了为保护生命、财产或工程安全、清理和必须执行的工作外，停止执行所有被通知解除的工作，并将相关人员撤离现场；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经发包人批准，承包人应将与被解除合同相关的和正在执行的分包合同及相关的责任和义务转让至发包人和（或）发包人指定方的名下，包括永久性工程及工程物资，以及相关工作；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移交已完成的永久性工程及负责已运抵现场的工程物资。在移交前，妥善做好己完工程和已运抵现场的工程物资的保管、维护和保养；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将发包人提供的所有信息及承包人为本工程编制的设计文件、技术资料及其它文件移交给发包人。在承包人留有的资料文件中，销毁与发包人提供的所有信息相关的数据及资料的备份；</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移交相应实施阶段已经付款的并已完成的和尚待完成的设计文件、图纸、资料、操作维修手册、施工组织设计、质检资料、竣工资料等；</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16.1.3 因承包人违约解除合同后的估价、付款和结算</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因承包人原因导致合同解除的，则合同当事人应在合同解除后28天内完成估价、付款和清算，并按以下约定执行：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合同解除后，按第3.6款[商定或确定]商定或确定承包人实际完成工作对应的合同价款，以及承包人已提供的材料、工程设备、施工设备和临时工程等的价值；</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合同解除后，承包人应支付的违约金；</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合同解除后，因解除合同给发包人造成的损失；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合同解除后，承包人应按照发包人的指示完成现场的清理和撤离；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发包人和承包人应在合同解除后进行清算，出具最终结清付款证书，结清全部款项。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因承包人违约解除合同的，发包人有权暂停对承包人的付款，查清各项付款和已扣款项，发包人和承包人未能就合同解除后的清算和款项支付达成一致的，按照第20条[争议解决]的约定处理。</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16.1.4 因承包人违约解除合同的合同权益转让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86"/>
        <w:widowControl/>
        <w:spacing w:afterLines="0"/>
        <w:ind w:left="0"/>
        <w:rPr>
          <w:rFonts w:asciiTheme="minorEastAsia" w:hAnsiTheme="minorEastAsia" w:eastAsiaTheme="minorEastAsia" w:cstheme="minorEastAsia"/>
          <w:b w:val="0"/>
          <w:bCs/>
          <w:sz w:val="21"/>
          <w:szCs w:val="21"/>
        </w:rPr>
      </w:pPr>
      <w:bookmarkStart w:id="1265" w:name="_Ref531958554"/>
      <w:bookmarkStart w:id="1266" w:name="_Toc23137"/>
      <w:bookmarkStart w:id="1267" w:name="_Toc54862305"/>
      <w:bookmarkStart w:id="1268" w:name="_Ref531958549"/>
      <w:bookmarkStart w:id="1269" w:name="_Toc113958570"/>
      <w:r>
        <w:rPr>
          <w:rFonts w:hint="eastAsia" w:asciiTheme="minorEastAsia" w:hAnsiTheme="minorEastAsia" w:eastAsiaTheme="minorEastAsia" w:cstheme="minorEastAsia"/>
          <w:b w:val="0"/>
          <w:bCs/>
          <w:sz w:val="21"/>
          <w:szCs w:val="21"/>
        </w:rPr>
        <w:t>16.2 由承包人解除合同</w:t>
      </w:r>
      <w:bookmarkEnd w:id="1265"/>
      <w:bookmarkEnd w:id="1266"/>
      <w:bookmarkEnd w:id="1267"/>
      <w:bookmarkEnd w:id="1268"/>
      <w:bookmarkEnd w:id="1269"/>
    </w:p>
    <w:p>
      <w:pPr>
        <w:pStyle w:val="87"/>
        <w:spacing w:afterLines="0"/>
        <w:ind w:left="0"/>
        <w:rPr>
          <w:rFonts w:asciiTheme="minorEastAsia" w:hAnsiTheme="minorEastAsia" w:eastAsiaTheme="minorEastAsia" w:cstheme="minorEastAsia"/>
          <w:sz w:val="21"/>
        </w:rPr>
      </w:pPr>
      <w:bookmarkStart w:id="1270" w:name="_Ref3841758"/>
      <w:r>
        <w:rPr>
          <w:rFonts w:hint="eastAsia" w:asciiTheme="minorEastAsia" w:hAnsiTheme="minorEastAsia" w:eastAsiaTheme="minorEastAsia" w:cstheme="minorEastAsia"/>
          <w:sz w:val="21"/>
        </w:rPr>
        <w:t>16.2.1 因发包人违约解除合同</w:t>
      </w:r>
      <w:bookmarkEnd w:id="127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承包人有权基于下列原因，以书面形式通知发包人解除合同，解除通知中应注明是根据第16.2.1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承包人就发包人未能遵守第2.5.2项关于发包人的资金安排发出通知后42天内，仍未收到合理的证明；</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 在第14条规定的付款时间到期后42天内，承包人仍未收到应付款项；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发包人实质上未能根据合同约定履行其义务，构成根本性违约；</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发承包双方订立本合同协议书后的84天内，承包人未收到根据第8.1款[开始工作]的开始工作通知；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发包人未能遵守第2.5.3项的约定提交支付担保；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发包人未能执行第15.1.2项[通知改正]的约定，致使合同目的不能实现的；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因发包人的原因暂停工作超过56天且暂停影响到整个工程，或因发包人的原因暂停工作超过182天的；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 因发包人原因造成开始工作日期迟于承包人收到中标通知书（或在无中标通知书的情况下，订立本合同之日）后第84天的。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87"/>
        <w:spacing w:afterLines="0"/>
        <w:ind w:left="0"/>
        <w:rPr>
          <w:rFonts w:asciiTheme="minorEastAsia" w:hAnsiTheme="minorEastAsia" w:eastAsiaTheme="minorEastAsia" w:cstheme="minorEastAsia"/>
          <w:sz w:val="21"/>
        </w:rPr>
      </w:pPr>
      <w:bookmarkStart w:id="1271" w:name="_Ref3842018"/>
      <w:bookmarkStart w:id="1272" w:name="_Ref4624336"/>
      <w:r>
        <w:rPr>
          <w:rFonts w:hint="eastAsia" w:asciiTheme="minorEastAsia" w:hAnsiTheme="minorEastAsia" w:eastAsiaTheme="minorEastAsia" w:cstheme="minorEastAsia"/>
          <w:sz w:val="21"/>
        </w:rPr>
        <w:t>16.2.2 因发包人违约解除合同后</w:t>
      </w:r>
      <w:bookmarkEnd w:id="1271"/>
      <w:r>
        <w:rPr>
          <w:rFonts w:hint="eastAsia" w:asciiTheme="minorEastAsia" w:hAnsiTheme="minorEastAsia" w:eastAsiaTheme="minorEastAsia" w:cstheme="minorEastAsia"/>
          <w:sz w:val="21"/>
        </w:rPr>
        <w:t>承包人的义务</w:t>
      </w:r>
      <w:bookmarkEnd w:id="1272"/>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合同解除后，承包人应按以下约定执行：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除为保护生命、财产、工程安全的工作外，停止所有进一步的工作；承包人因执行该保护工作而产生费用的，由发包人承担；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向发包人移交承包人已获得支付的承包人文件、生产设备、材料和其他工作；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从现场运走除为了安全需要以外的所有属于承包人的其他货物，并撤离现场。</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16.2.3 因发包人违约解除合同后的付款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承包人按照本款约定解除合同的，发包人应在解除合同后28天内支付下列款项，并退还履约担保：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合同解除前所完成工作的价款；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承包人为工程施工订购并已付款的材料、工程设备和其他物品的价款；发包人付款后，该材料、工程设备和其他物品归发包人所有；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承包人为完成工程所发生的，而发包人未支付的金额；</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承包人撤离施工现场以及遣散承包人人员的款项；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按照合同约定在合同解除前应支付的违约金；</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按照合同约定应当支付给承包人的其他款项；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按照合同约定应返还的质量保证金；</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 因解除合同给承包人造成的损失。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承包人应妥善做好已完工程和与工程有关的已购材料、工程设备的保护和移交工作，并将施工设备和人员撤出施工现场，发包人应为承包人撤出提供必要条件。</w:t>
      </w:r>
    </w:p>
    <w:p>
      <w:pPr>
        <w:pStyle w:val="86"/>
        <w:widowControl/>
        <w:spacing w:afterLines="0"/>
        <w:ind w:left="0"/>
        <w:rPr>
          <w:rFonts w:asciiTheme="minorEastAsia" w:hAnsiTheme="minorEastAsia" w:eastAsiaTheme="minorEastAsia" w:cstheme="minorEastAsia"/>
          <w:b w:val="0"/>
          <w:bCs/>
          <w:sz w:val="21"/>
          <w:szCs w:val="21"/>
        </w:rPr>
      </w:pPr>
      <w:bookmarkStart w:id="1273" w:name="_Toc5806"/>
      <w:bookmarkStart w:id="1274" w:name="_Toc54862306"/>
      <w:bookmarkStart w:id="1275" w:name="_Toc113958571"/>
      <w:bookmarkStart w:id="1276" w:name="_Ref3841966"/>
      <w:r>
        <w:rPr>
          <w:rFonts w:hint="eastAsia" w:asciiTheme="minorEastAsia" w:hAnsiTheme="minorEastAsia" w:eastAsiaTheme="minorEastAsia" w:cstheme="minorEastAsia"/>
          <w:b w:val="0"/>
          <w:bCs/>
          <w:sz w:val="21"/>
          <w:szCs w:val="21"/>
        </w:rPr>
        <w:t>16.3 合同解除后的事项</w:t>
      </w:r>
      <w:bookmarkEnd w:id="1273"/>
      <w:bookmarkEnd w:id="1274"/>
      <w:bookmarkEnd w:id="1275"/>
      <w:bookmarkEnd w:id="1276"/>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16.3.1 结算约定依然有效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合同解除后，由发包人或由承包人解除合同的结算及结算后的付款约定仍然有效，直至解除合同的结算工作结清。</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16.3.2 解除合同的争议</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277" w:name="_Hlk18988355"/>
      <w:r>
        <w:rPr>
          <w:rFonts w:hint="eastAsia" w:asciiTheme="minorEastAsia" w:hAnsiTheme="minorEastAsia" w:eastAsiaTheme="minorEastAsia" w:cstheme="minorEastAsia"/>
          <w:sz w:val="21"/>
          <w:szCs w:val="21"/>
        </w:rPr>
        <w:t>双方对解除合同或解除合同后的结算有争议的，按照第20条[争议解决]的约定处理。</w:t>
      </w:r>
      <w:bookmarkEnd w:id="1277"/>
    </w:p>
    <w:p>
      <w:pPr>
        <w:pStyle w:val="85"/>
        <w:numPr>
          <w:ilvl w:val="0"/>
          <w:numId w:val="0"/>
        </w:numPr>
        <w:adjustRightInd w:val="0"/>
        <w:snapToGrid w:val="0"/>
        <w:rPr>
          <w:rFonts w:asciiTheme="minorEastAsia" w:hAnsiTheme="minorEastAsia" w:eastAsiaTheme="minorEastAsia" w:cstheme="minorEastAsia"/>
          <w:bCs/>
          <w:sz w:val="21"/>
          <w:szCs w:val="21"/>
        </w:rPr>
      </w:pPr>
      <w:bookmarkStart w:id="1278" w:name="_Toc54862307"/>
      <w:bookmarkStart w:id="1279" w:name="_Toc18599"/>
      <w:bookmarkStart w:id="1280" w:name="_Ref3840974"/>
      <w:bookmarkStart w:id="1281" w:name="_Toc113958572"/>
      <w:bookmarkStart w:id="1282" w:name="_Ref3840605"/>
      <w:r>
        <w:rPr>
          <w:rFonts w:hint="eastAsia" w:asciiTheme="minorEastAsia" w:hAnsiTheme="minorEastAsia" w:eastAsiaTheme="minorEastAsia" w:cstheme="minorEastAsia"/>
          <w:bCs/>
          <w:sz w:val="21"/>
          <w:szCs w:val="21"/>
        </w:rPr>
        <w:t>第17条 不可抗力</w:t>
      </w:r>
      <w:bookmarkEnd w:id="1278"/>
      <w:bookmarkEnd w:id="1279"/>
      <w:bookmarkEnd w:id="1280"/>
      <w:bookmarkEnd w:id="1281"/>
    </w:p>
    <w:p>
      <w:pPr>
        <w:pStyle w:val="86"/>
        <w:widowControl/>
        <w:spacing w:afterLines="0"/>
        <w:ind w:left="0"/>
        <w:rPr>
          <w:rFonts w:asciiTheme="minorEastAsia" w:hAnsiTheme="minorEastAsia" w:eastAsiaTheme="minorEastAsia" w:cstheme="minorEastAsia"/>
          <w:b w:val="0"/>
          <w:bCs/>
          <w:sz w:val="21"/>
          <w:szCs w:val="21"/>
        </w:rPr>
      </w:pPr>
      <w:bookmarkStart w:id="1283" w:name="_Ref531958158"/>
      <w:bookmarkStart w:id="1284" w:name="_Ref531958161"/>
      <w:bookmarkStart w:id="1285" w:name="_Toc54862308"/>
      <w:bookmarkStart w:id="1286" w:name="_Toc113958573"/>
      <w:bookmarkStart w:id="1287" w:name="_Toc27598"/>
      <w:r>
        <w:rPr>
          <w:rFonts w:hint="eastAsia" w:asciiTheme="minorEastAsia" w:hAnsiTheme="minorEastAsia" w:eastAsiaTheme="minorEastAsia" w:cstheme="minorEastAsia"/>
          <w:b w:val="0"/>
          <w:bCs/>
          <w:sz w:val="21"/>
          <w:szCs w:val="21"/>
        </w:rPr>
        <w:t>17.1 不可抗力的</w:t>
      </w:r>
      <w:bookmarkEnd w:id="1283"/>
      <w:bookmarkEnd w:id="1284"/>
      <w:r>
        <w:rPr>
          <w:rFonts w:hint="eastAsia" w:asciiTheme="minorEastAsia" w:hAnsiTheme="minorEastAsia" w:eastAsiaTheme="minorEastAsia" w:cstheme="minorEastAsia"/>
          <w:b w:val="0"/>
          <w:bCs/>
          <w:sz w:val="21"/>
          <w:szCs w:val="21"/>
        </w:rPr>
        <w:t>定义</w:t>
      </w:r>
      <w:bookmarkEnd w:id="1285"/>
      <w:bookmarkEnd w:id="1286"/>
      <w:bookmarkEnd w:id="128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pPr>
        <w:pStyle w:val="86"/>
        <w:widowControl/>
        <w:spacing w:afterLines="0"/>
        <w:ind w:left="0"/>
        <w:rPr>
          <w:rFonts w:asciiTheme="minorEastAsia" w:hAnsiTheme="minorEastAsia" w:eastAsiaTheme="minorEastAsia" w:cstheme="minorEastAsia"/>
          <w:b w:val="0"/>
          <w:bCs/>
          <w:sz w:val="21"/>
          <w:szCs w:val="21"/>
        </w:rPr>
      </w:pPr>
      <w:bookmarkStart w:id="1288" w:name="_Toc19990"/>
      <w:bookmarkStart w:id="1289" w:name="_Toc54862309"/>
      <w:bookmarkStart w:id="1290" w:name="_Toc113958574"/>
      <w:r>
        <w:rPr>
          <w:rFonts w:hint="eastAsia" w:asciiTheme="minorEastAsia" w:hAnsiTheme="minorEastAsia" w:eastAsiaTheme="minorEastAsia" w:cstheme="minorEastAsia"/>
          <w:b w:val="0"/>
          <w:bCs/>
          <w:sz w:val="21"/>
          <w:szCs w:val="21"/>
        </w:rPr>
        <w:t>17.2 不可抗力的通知</w:t>
      </w:r>
      <w:bookmarkEnd w:id="1288"/>
      <w:bookmarkEnd w:id="1289"/>
      <w:bookmarkEnd w:id="1290"/>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合同一方当事人觉察或发现不可抗力事件发生，使其履行合同义务受到阻碍时，有义务立即通知合同另一方当事人和工程师，书面说明不可抗力和受阻碍的详细情况，并提供必要的证明。</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不可抗力持续发生的，合同一方当事人应每隔28天向合同另一方当事人和工程师提交中间报告，说明不可抗力和履行合同受阻的情况，并于不可抗力事件结束后28天内提交最终报告及有关资料。</w:t>
      </w:r>
    </w:p>
    <w:p>
      <w:pPr>
        <w:pStyle w:val="86"/>
        <w:widowControl/>
        <w:spacing w:afterLines="0"/>
        <w:ind w:left="0"/>
        <w:rPr>
          <w:rFonts w:asciiTheme="minorEastAsia" w:hAnsiTheme="minorEastAsia" w:eastAsiaTheme="minorEastAsia" w:cstheme="minorEastAsia"/>
          <w:b w:val="0"/>
          <w:bCs/>
          <w:sz w:val="21"/>
          <w:szCs w:val="21"/>
        </w:rPr>
      </w:pPr>
      <w:bookmarkStart w:id="1291" w:name="_Toc7989"/>
      <w:bookmarkStart w:id="1292" w:name="_Toc113958575"/>
      <w:bookmarkStart w:id="1293" w:name="_Toc54862310"/>
      <w:r>
        <w:rPr>
          <w:rFonts w:hint="eastAsia" w:asciiTheme="minorEastAsia" w:hAnsiTheme="minorEastAsia" w:eastAsiaTheme="minorEastAsia" w:cstheme="minorEastAsia"/>
          <w:b w:val="0"/>
          <w:bCs/>
          <w:sz w:val="21"/>
          <w:szCs w:val="21"/>
        </w:rPr>
        <w:t>17.3 将损失减至最小的义务</w:t>
      </w:r>
      <w:bookmarkEnd w:id="1291"/>
      <w:bookmarkEnd w:id="1292"/>
      <w:bookmarkEnd w:id="129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pPr>
        <w:pStyle w:val="86"/>
        <w:widowControl/>
        <w:spacing w:afterLines="0"/>
        <w:ind w:left="0"/>
        <w:rPr>
          <w:rFonts w:asciiTheme="minorEastAsia" w:hAnsiTheme="minorEastAsia" w:eastAsiaTheme="minorEastAsia" w:cstheme="minorEastAsia"/>
          <w:b w:val="0"/>
          <w:bCs/>
          <w:sz w:val="21"/>
          <w:szCs w:val="21"/>
        </w:rPr>
      </w:pPr>
      <w:bookmarkStart w:id="1294" w:name="_Ref531958172"/>
      <w:bookmarkStart w:id="1295" w:name="_Ref531958170"/>
      <w:bookmarkStart w:id="1296" w:name="_Toc54862311"/>
      <w:bookmarkStart w:id="1297" w:name="_Toc29277"/>
      <w:bookmarkStart w:id="1298" w:name="_Toc113958576"/>
      <w:bookmarkStart w:id="1299" w:name="_Ref3840916"/>
      <w:r>
        <w:rPr>
          <w:rFonts w:hint="eastAsia" w:asciiTheme="minorEastAsia" w:hAnsiTheme="minorEastAsia" w:eastAsiaTheme="minorEastAsia" w:cstheme="minorEastAsia"/>
          <w:b w:val="0"/>
          <w:bCs/>
          <w:sz w:val="21"/>
          <w:szCs w:val="21"/>
        </w:rPr>
        <w:t>17.4 不可抗力后果</w:t>
      </w:r>
      <w:bookmarkEnd w:id="1294"/>
      <w:bookmarkEnd w:id="1295"/>
      <w:r>
        <w:rPr>
          <w:rFonts w:hint="eastAsia" w:asciiTheme="minorEastAsia" w:hAnsiTheme="minorEastAsia" w:eastAsiaTheme="minorEastAsia" w:cstheme="minorEastAsia"/>
          <w:b w:val="0"/>
          <w:bCs/>
          <w:sz w:val="21"/>
          <w:szCs w:val="21"/>
        </w:rPr>
        <w:t>的承担</w:t>
      </w:r>
      <w:bookmarkEnd w:id="1296"/>
      <w:bookmarkEnd w:id="1297"/>
      <w:bookmarkEnd w:id="1298"/>
      <w:bookmarkEnd w:id="1299"/>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不可抗力导致的人员伤亡、财产损失、费用增加和（或）工期延误等后果，由合同当事人按以下原则承担：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永久工程，包括已运至施工现场的材料和工程设备的损害，以及因工程损害造成的第三人人员伤亡和财产损失由发包人承担；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承包人提供的施工设备的损坏由承包人承担；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发包人和承包人各自承担其人员伤亡及其他财产损失；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因不可抗力影响承包人履行合同约定的义务，已经引起或将引起工期延误的，应当顺延工期，由此导致承包人停工的费用损失由发包人和承包人合理分担，</w:t>
      </w:r>
      <w:bookmarkStart w:id="1300" w:name="_Hlk51507024"/>
      <w:r>
        <w:rPr>
          <w:rFonts w:hint="eastAsia" w:asciiTheme="minorEastAsia" w:hAnsiTheme="minorEastAsia" w:eastAsiaTheme="minorEastAsia" w:cstheme="minorEastAsia"/>
          <w:sz w:val="21"/>
          <w:szCs w:val="21"/>
        </w:rPr>
        <w:t>停工期间必须支付的现场必要的工人工资</w:t>
      </w:r>
      <w:bookmarkEnd w:id="1300"/>
      <w:r>
        <w:rPr>
          <w:rFonts w:hint="eastAsia" w:asciiTheme="minorEastAsia" w:hAnsiTheme="minorEastAsia" w:eastAsiaTheme="minorEastAsia" w:cstheme="minorEastAsia"/>
          <w:sz w:val="21"/>
          <w:szCs w:val="21"/>
        </w:rPr>
        <w:t>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因不可抗力引起或将引起工期延误，发包人指示赶工的，由此增加的赶工费用由发包人承担；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承包人在停工期间按照工程师或发包人要求照管、清理和修复工程的费用由发包人承担。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不可抗力引起的后果及造成的损失由合同当事人按照法律规定及合同约定各自承担。不可抗力发生前已完成的工程应当按照合同约定进行支付。</w:t>
      </w:r>
    </w:p>
    <w:p>
      <w:pPr>
        <w:pStyle w:val="86"/>
        <w:widowControl/>
        <w:spacing w:afterLines="0"/>
        <w:ind w:left="0"/>
        <w:rPr>
          <w:rFonts w:asciiTheme="minorEastAsia" w:hAnsiTheme="minorEastAsia" w:eastAsiaTheme="minorEastAsia" w:cstheme="minorEastAsia"/>
          <w:b w:val="0"/>
          <w:bCs/>
          <w:sz w:val="21"/>
          <w:szCs w:val="21"/>
        </w:rPr>
      </w:pPr>
      <w:bookmarkStart w:id="1301" w:name="_Toc54862312"/>
      <w:bookmarkStart w:id="1302" w:name="_Toc23045"/>
      <w:bookmarkStart w:id="1303" w:name="_Toc113958577"/>
      <w:r>
        <w:rPr>
          <w:rFonts w:hint="eastAsia" w:asciiTheme="minorEastAsia" w:hAnsiTheme="minorEastAsia" w:eastAsiaTheme="minorEastAsia" w:cstheme="minorEastAsia"/>
          <w:b w:val="0"/>
          <w:bCs/>
          <w:sz w:val="21"/>
          <w:szCs w:val="21"/>
        </w:rPr>
        <w:t>17.5 不可抗力影响分包人</w:t>
      </w:r>
      <w:bookmarkEnd w:id="1301"/>
      <w:bookmarkEnd w:id="1302"/>
      <w:bookmarkEnd w:id="1303"/>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分包人根据分包合同的约定，有权获得更多或者更广的不可抗力而免除某些义务时，承包人不得以分包合同中不可抗力约定向发包人抗辩免除其义务。</w:t>
      </w:r>
    </w:p>
    <w:p>
      <w:pPr>
        <w:pStyle w:val="86"/>
        <w:widowControl/>
        <w:spacing w:afterLines="0"/>
        <w:ind w:left="0"/>
        <w:rPr>
          <w:rFonts w:asciiTheme="minorEastAsia" w:hAnsiTheme="minorEastAsia" w:eastAsiaTheme="minorEastAsia" w:cstheme="minorEastAsia"/>
          <w:b w:val="0"/>
          <w:bCs/>
          <w:sz w:val="21"/>
          <w:szCs w:val="21"/>
        </w:rPr>
      </w:pPr>
      <w:bookmarkStart w:id="1304" w:name="_Ref531958184"/>
      <w:bookmarkStart w:id="1305" w:name="_Ref531958181"/>
      <w:bookmarkStart w:id="1306" w:name="_Ref4538024"/>
      <w:bookmarkStart w:id="1307" w:name="_Ref3840892"/>
      <w:bookmarkStart w:id="1308" w:name="_Toc8606"/>
      <w:bookmarkStart w:id="1309" w:name="_Toc113958578"/>
      <w:bookmarkStart w:id="1310" w:name="_Toc54862313"/>
      <w:r>
        <w:rPr>
          <w:rFonts w:hint="eastAsia" w:asciiTheme="minorEastAsia" w:hAnsiTheme="minorEastAsia" w:eastAsiaTheme="minorEastAsia" w:cstheme="minorEastAsia"/>
          <w:b w:val="0"/>
          <w:bCs/>
          <w:sz w:val="21"/>
          <w:szCs w:val="21"/>
        </w:rPr>
        <w:t>17.6 因不可抗力解除</w:t>
      </w:r>
      <w:bookmarkEnd w:id="1304"/>
      <w:bookmarkEnd w:id="1305"/>
      <w:r>
        <w:rPr>
          <w:rFonts w:hint="eastAsia" w:asciiTheme="minorEastAsia" w:hAnsiTheme="minorEastAsia" w:eastAsiaTheme="minorEastAsia" w:cstheme="minorEastAsia"/>
          <w:b w:val="0"/>
          <w:bCs/>
          <w:sz w:val="21"/>
          <w:szCs w:val="21"/>
        </w:rPr>
        <w:t>合同</w:t>
      </w:r>
      <w:bookmarkEnd w:id="1306"/>
      <w:bookmarkEnd w:id="1307"/>
      <w:bookmarkEnd w:id="1308"/>
      <w:bookmarkEnd w:id="1309"/>
      <w:bookmarkEnd w:id="1310"/>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单次不可抗力导致合同无法履行连续超过84天或累计超过140天的，发包人和承包人均有权解除合同。合同解除后，承包人应按照第10.5款[竣工退场]的规定进行。由双方当事人按照第3.6款[商定或确定]商定或确定发包人应支付的款项，该款项包括：</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合同解除前承包人已完成工作的价款；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发包人指示承包人退货或解除订货合同而产生的费用，或因不能退货或解除合同而产生的损失；</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承包人撤离施工现场以及遣散承包人人员的费用；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按照合同约定在合同解除前应支付给承包人的其他款项；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扣减承包人按照合同约定应向发包人支付的款项；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双方商定或确定的其他款项。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除专用合同条件另有约定外，合同解除后，发包人应当在商定或确定上述款项后28天内完成上述款项的支付。</w:t>
      </w:r>
    </w:p>
    <w:p>
      <w:pPr>
        <w:pStyle w:val="85"/>
        <w:numPr>
          <w:ilvl w:val="0"/>
          <w:numId w:val="0"/>
        </w:numPr>
        <w:adjustRightInd w:val="0"/>
        <w:snapToGrid w:val="0"/>
        <w:rPr>
          <w:rFonts w:asciiTheme="minorEastAsia" w:hAnsiTheme="minorEastAsia" w:eastAsiaTheme="minorEastAsia" w:cstheme="minorEastAsia"/>
          <w:bCs/>
          <w:sz w:val="21"/>
          <w:szCs w:val="21"/>
        </w:rPr>
      </w:pPr>
      <w:bookmarkStart w:id="1311" w:name="_Ref11848264"/>
      <w:bookmarkStart w:id="1312" w:name="_Toc113958579"/>
      <w:bookmarkStart w:id="1313" w:name="_Ref11848274"/>
      <w:bookmarkStart w:id="1314" w:name="_Toc10577"/>
      <w:bookmarkStart w:id="1315" w:name="_Toc54862314"/>
      <w:r>
        <w:rPr>
          <w:rFonts w:hint="eastAsia" w:asciiTheme="minorEastAsia" w:hAnsiTheme="minorEastAsia" w:eastAsiaTheme="minorEastAsia" w:cstheme="minorEastAsia"/>
          <w:bCs/>
          <w:sz w:val="21"/>
          <w:szCs w:val="21"/>
        </w:rPr>
        <w:t>第18条 保险</w:t>
      </w:r>
      <w:bookmarkEnd w:id="1282"/>
      <w:bookmarkEnd w:id="1311"/>
      <w:bookmarkEnd w:id="1312"/>
      <w:bookmarkEnd w:id="1313"/>
      <w:bookmarkEnd w:id="1314"/>
      <w:bookmarkEnd w:id="1315"/>
      <w:r>
        <w:rPr>
          <w:rFonts w:hint="eastAsia" w:asciiTheme="minorEastAsia" w:hAnsiTheme="minorEastAsia" w:eastAsiaTheme="minorEastAsia" w:cstheme="minorEastAsia"/>
          <w:bCs/>
          <w:sz w:val="21"/>
          <w:szCs w:val="21"/>
        </w:rPr>
        <w:t xml:space="preserve"> </w:t>
      </w:r>
    </w:p>
    <w:p>
      <w:pPr>
        <w:pStyle w:val="86"/>
        <w:widowControl/>
        <w:spacing w:afterLines="0"/>
        <w:ind w:left="0"/>
        <w:rPr>
          <w:rFonts w:asciiTheme="minorEastAsia" w:hAnsiTheme="minorEastAsia" w:eastAsiaTheme="minorEastAsia" w:cstheme="minorEastAsia"/>
          <w:b w:val="0"/>
          <w:bCs/>
          <w:sz w:val="21"/>
          <w:szCs w:val="21"/>
        </w:rPr>
      </w:pPr>
      <w:bookmarkStart w:id="1316" w:name="_Ref3840734"/>
      <w:bookmarkStart w:id="1317" w:name="_Ref3840730"/>
      <w:bookmarkStart w:id="1318" w:name="_Toc113958580"/>
      <w:bookmarkStart w:id="1319" w:name="_Toc54862315"/>
      <w:bookmarkStart w:id="1320" w:name="_Toc10288"/>
      <w:bookmarkStart w:id="1321" w:name="_Ref531957911"/>
      <w:bookmarkStart w:id="1322" w:name="_Ref531957914"/>
      <w:bookmarkStart w:id="1323" w:name="_Toc351203616"/>
      <w:r>
        <w:rPr>
          <w:rFonts w:hint="eastAsia" w:asciiTheme="minorEastAsia" w:hAnsiTheme="minorEastAsia" w:eastAsiaTheme="minorEastAsia" w:cstheme="minorEastAsia"/>
          <w:b w:val="0"/>
          <w:bCs/>
          <w:sz w:val="21"/>
          <w:szCs w:val="21"/>
        </w:rPr>
        <w:t>18.1 设计和工程保险</w:t>
      </w:r>
      <w:bookmarkEnd w:id="1316"/>
      <w:bookmarkEnd w:id="1317"/>
      <w:bookmarkEnd w:id="1318"/>
      <w:bookmarkEnd w:id="1319"/>
      <w:bookmarkEnd w:id="1320"/>
    </w:p>
    <w:bookmarkEnd w:id="1321"/>
    <w:bookmarkEnd w:id="1322"/>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18.1.1 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18.1.2 双方应按照专用合同条件的约定投保第三者责任险，并在缺陷责任期终止证书颁发前维持其持续有效。第三者责任险最低投保额应在专用合同条件内约定。</w:t>
      </w:r>
    </w:p>
    <w:p>
      <w:pPr>
        <w:pStyle w:val="86"/>
        <w:widowControl/>
        <w:spacing w:afterLines="0"/>
        <w:ind w:left="0"/>
        <w:rPr>
          <w:rFonts w:asciiTheme="minorEastAsia" w:hAnsiTheme="minorEastAsia" w:eastAsiaTheme="minorEastAsia" w:cstheme="minorEastAsia"/>
          <w:b w:val="0"/>
          <w:bCs/>
          <w:sz w:val="21"/>
          <w:szCs w:val="21"/>
        </w:rPr>
      </w:pPr>
      <w:bookmarkStart w:id="1324" w:name="_Ref3840683"/>
      <w:bookmarkStart w:id="1325" w:name="_Toc113958581"/>
      <w:bookmarkStart w:id="1326" w:name="_Toc5470"/>
      <w:bookmarkStart w:id="1327" w:name="_Toc54862316"/>
      <w:r>
        <w:rPr>
          <w:rFonts w:hint="eastAsia" w:asciiTheme="minorEastAsia" w:hAnsiTheme="minorEastAsia" w:eastAsiaTheme="minorEastAsia" w:cstheme="minorEastAsia"/>
          <w:b w:val="0"/>
          <w:bCs/>
          <w:sz w:val="21"/>
          <w:szCs w:val="21"/>
        </w:rPr>
        <w:t>18.2 工伤和意外伤害保险</w:t>
      </w:r>
      <w:bookmarkEnd w:id="1324"/>
      <w:bookmarkEnd w:id="1325"/>
      <w:bookmarkEnd w:id="1326"/>
      <w:bookmarkEnd w:id="1327"/>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18.2.1 发包人应依照法律规定为其在施工现场的雇用人员办理工伤保险，缴纳工伤保险费；并要求工程师及由发包人为履行合同聘请的第三方在施工现场的雇用人员依法办理工伤保险。</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18.2.2 承包人应依照法律规定为其履行合同雇用的全部人员办理工伤保险，缴纳工伤保险费，并要求分包人及由承包人为履行合同聘请的第三方雇用的全部人员依法办理工伤保险。</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18.2.3 发包人和承包人可以为其施工现场的全部人员办理意外伤害保险并支付保险费，包括其员工及为履行合同聘请的第三方的人员，具体事项由合同当事人在专用合同条件约定。</w:t>
      </w:r>
    </w:p>
    <w:p>
      <w:pPr>
        <w:pStyle w:val="86"/>
        <w:widowControl/>
        <w:spacing w:afterLines="0"/>
        <w:ind w:left="0"/>
        <w:rPr>
          <w:rFonts w:asciiTheme="minorEastAsia" w:hAnsiTheme="minorEastAsia" w:eastAsiaTheme="minorEastAsia" w:cstheme="minorEastAsia"/>
          <w:b w:val="0"/>
          <w:bCs/>
          <w:sz w:val="21"/>
          <w:szCs w:val="21"/>
        </w:rPr>
      </w:pPr>
      <w:bookmarkStart w:id="1328" w:name="_Toc19811"/>
      <w:bookmarkStart w:id="1329" w:name="_Toc113958582"/>
      <w:bookmarkStart w:id="1330" w:name="_Toc54862317"/>
      <w:bookmarkStart w:id="1331" w:name="_Ref3840782"/>
      <w:r>
        <w:rPr>
          <w:rFonts w:hint="eastAsia" w:asciiTheme="minorEastAsia" w:hAnsiTheme="minorEastAsia" w:eastAsiaTheme="minorEastAsia" w:cstheme="minorEastAsia"/>
          <w:b w:val="0"/>
          <w:bCs/>
          <w:sz w:val="21"/>
          <w:szCs w:val="21"/>
        </w:rPr>
        <w:t>18.3 货物保险</w:t>
      </w:r>
      <w:bookmarkEnd w:id="1328"/>
      <w:bookmarkEnd w:id="1329"/>
      <w:bookmarkEnd w:id="1330"/>
      <w:bookmarkEnd w:id="1331"/>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承包人应</w:t>
      </w:r>
      <w:r>
        <w:rPr>
          <w:rFonts w:hint="eastAsia" w:asciiTheme="minorEastAsia" w:hAnsiTheme="minorEastAsia" w:eastAsiaTheme="minorEastAsia" w:cstheme="minorEastAsia"/>
          <w:iCs/>
          <w:sz w:val="21"/>
          <w:szCs w:val="21"/>
        </w:rPr>
        <w:t>按照</w:t>
      </w:r>
      <w:r>
        <w:rPr>
          <w:rFonts w:hint="eastAsia" w:asciiTheme="minorEastAsia" w:hAnsiTheme="minorEastAsia" w:eastAsiaTheme="minorEastAsia" w:cstheme="minorEastAsia"/>
          <w:sz w:val="21"/>
          <w:szCs w:val="21"/>
        </w:rPr>
        <w:t>专用合同条件的约定为</w:t>
      </w:r>
      <w:r>
        <w:rPr>
          <w:rFonts w:hint="eastAsia" w:asciiTheme="minorEastAsia" w:hAnsiTheme="minorEastAsia" w:eastAsiaTheme="minorEastAsia" w:cstheme="minorEastAsia"/>
          <w:iCs/>
          <w:sz w:val="21"/>
          <w:szCs w:val="21"/>
        </w:rPr>
        <w:t>运抵现场的</w:t>
      </w:r>
      <w:r>
        <w:rPr>
          <w:rFonts w:hint="eastAsia" w:asciiTheme="minorEastAsia" w:hAnsiTheme="minorEastAsia" w:eastAsiaTheme="minorEastAsia" w:cstheme="minorEastAsia"/>
          <w:sz w:val="21"/>
          <w:szCs w:val="21"/>
        </w:rPr>
        <w:t>施工设备、材料、工程设备和临时工程等办理财产保险，保险期限自上述货物运抵现场至其不再为工程所需要为止。</w:t>
      </w:r>
    </w:p>
    <w:p>
      <w:pPr>
        <w:pStyle w:val="86"/>
        <w:widowControl/>
        <w:spacing w:afterLines="0"/>
        <w:ind w:left="0"/>
        <w:rPr>
          <w:rFonts w:asciiTheme="minorEastAsia" w:hAnsiTheme="minorEastAsia" w:eastAsiaTheme="minorEastAsia" w:cstheme="minorEastAsia"/>
          <w:b w:val="0"/>
          <w:bCs/>
          <w:sz w:val="21"/>
          <w:szCs w:val="21"/>
        </w:rPr>
      </w:pPr>
      <w:bookmarkStart w:id="1332" w:name="_Ref4692231"/>
      <w:bookmarkStart w:id="1333" w:name="_Toc54862318"/>
      <w:bookmarkStart w:id="1334" w:name="_Ref4692238"/>
      <w:bookmarkStart w:id="1335" w:name="_Toc113958583"/>
      <w:bookmarkStart w:id="1336" w:name="_Toc12244"/>
      <w:r>
        <w:rPr>
          <w:rFonts w:hint="eastAsia" w:asciiTheme="minorEastAsia" w:hAnsiTheme="minorEastAsia" w:eastAsiaTheme="minorEastAsia" w:cstheme="minorEastAsia"/>
          <w:b w:val="0"/>
          <w:bCs/>
          <w:sz w:val="21"/>
          <w:szCs w:val="21"/>
        </w:rPr>
        <w:t>18.4 其他保险</w:t>
      </w:r>
      <w:bookmarkEnd w:id="1332"/>
      <w:bookmarkEnd w:id="1333"/>
      <w:bookmarkEnd w:id="1334"/>
      <w:bookmarkEnd w:id="1335"/>
      <w:bookmarkEnd w:id="133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w:t>
      </w:r>
      <w:bookmarkEnd w:id="1323"/>
      <w:r>
        <w:rPr>
          <w:rFonts w:hint="eastAsia" w:asciiTheme="minorEastAsia" w:hAnsiTheme="minorEastAsia" w:eastAsiaTheme="minorEastAsia" w:cstheme="minorEastAsia"/>
          <w:sz w:val="21"/>
          <w:szCs w:val="21"/>
        </w:rPr>
        <w:t>保费用包含在合同价格中，但在合同执行过程中，新颁布适用的法律法规规定由承包人投保的强制保险，应根据本合同</w:t>
      </w:r>
      <w:bookmarkStart w:id="1337" w:name="_Toc351203617"/>
      <w:bookmarkStart w:id="1338" w:name="_Toc337558832"/>
      <w:bookmarkStart w:id="1339" w:name="_Toc296503126"/>
      <w:bookmarkStart w:id="1340" w:name="_Toc296346627"/>
      <w:r>
        <w:rPr>
          <w:rFonts w:hint="eastAsia" w:asciiTheme="minorEastAsia" w:hAnsiTheme="minorEastAsia" w:eastAsiaTheme="minorEastAsia" w:cstheme="minorEastAsia"/>
          <w:sz w:val="21"/>
          <w:szCs w:val="21"/>
        </w:rPr>
        <w:t>第13条[变更与调整]的约定增加合同价款。</w:t>
      </w:r>
    </w:p>
    <w:p>
      <w:pPr>
        <w:pStyle w:val="86"/>
        <w:widowControl/>
        <w:spacing w:afterLines="0"/>
        <w:ind w:left="0"/>
        <w:rPr>
          <w:rFonts w:asciiTheme="minorEastAsia" w:hAnsiTheme="minorEastAsia" w:eastAsiaTheme="minorEastAsia" w:cstheme="minorEastAsia"/>
          <w:b w:val="0"/>
          <w:bCs/>
          <w:sz w:val="21"/>
          <w:szCs w:val="21"/>
        </w:rPr>
      </w:pPr>
      <w:bookmarkStart w:id="1341" w:name="_Ref3840659"/>
      <w:bookmarkStart w:id="1342" w:name="_Toc3446"/>
      <w:bookmarkStart w:id="1343" w:name="_Toc54862319"/>
      <w:bookmarkStart w:id="1344" w:name="_Toc113958584"/>
      <w:r>
        <w:rPr>
          <w:rFonts w:hint="eastAsia" w:asciiTheme="minorEastAsia" w:hAnsiTheme="minorEastAsia" w:eastAsiaTheme="minorEastAsia" w:cstheme="minorEastAsia"/>
          <w:b w:val="0"/>
          <w:bCs/>
          <w:sz w:val="21"/>
          <w:szCs w:val="21"/>
        </w:rPr>
        <w:t>18.5 对各项保险的一般要求</w:t>
      </w:r>
      <w:bookmarkEnd w:id="1341"/>
      <w:bookmarkEnd w:id="1342"/>
      <w:bookmarkEnd w:id="1343"/>
      <w:bookmarkEnd w:id="1344"/>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18.5.1 持续保险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合同当事人应与保险人保持联系，使保险人能够随时了</w:t>
      </w:r>
      <w:bookmarkEnd w:id="1337"/>
      <w:r>
        <w:rPr>
          <w:rFonts w:hint="eastAsia" w:asciiTheme="minorEastAsia" w:hAnsiTheme="minorEastAsia" w:eastAsiaTheme="minorEastAsia" w:cstheme="minorEastAsia"/>
          <w:sz w:val="21"/>
          <w:szCs w:val="21"/>
        </w:rPr>
        <w:t>解</w:t>
      </w:r>
      <w:bookmarkEnd w:id="1338"/>
      <w:bookmarkEnd w:id="1339"/>
      <w:bookmarkEnd w:id="1340"/>
      <w:r>
        <w:rPr>
          <w:rFonts w:hint="eastAsia" w:asciiTheme="minorEastAsia" w:hAnsiTheme="minorEastAsia" w:eastAsiaTheme="minorEastAsia" w:cstheme="minorEastAsia"/>
          <w:sz w:val="21"/>
          <w:szCs w:val="21"/>
        </w:rPr>
        <w:t>工程实施中的变动，并确保按保险合同条款要求持续保险。</w:t>
      </w:r>
    </w:p>
    <w:p>
      <w:pPr>
        <w:pStyle w:val="87"/>
        <w:spacing w:afterLines="0"/>
        <w:ind w:left="0"/>
        <w:rPr>
          <w:rFonts w:asciiTheme="minorEastAsia" w:hAnsiTheme="minorEastAsia" w:eastAsiaTheme="minorEastAsia" w:cstheme="minorEastAsia"/>
          <w:sz w:val="21"/>
        </w:rPr>
      </w:pPr>
      <w:bookmarkStart w:id="1345" w:name="_Ref4777650"/>
      <w:r>
        <w:rPr>
          <w:rFonts w:hint="eastAsia" w:asciiTheme="minorEastAsia" w:hAnsiTheme="minorEastAsia" w:eastAsiaTheme="minorEastAsia" w:cstheme="minorEastAsia"/>
          <w:sz w:val="21"/>
        </w:rPr>
        <w:t>18.5.2 保险凭证</w:t>
      </w:r>
      <w:bookmarkEnd w:id="134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合同当事人应及时向另一方当事人提交其已投保的各项保险的凭证和保险单复印件，保险单必须与专用合同条件约定的条件保持一致。</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18.5.3 未按约定投保的补救</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负有投保义务的一方当事人未按合同约定办理保险，或未能使保险持续有效的，则另一方当事人可代为办理，所需费用由负有投保义务的一方当事人承担。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负有投保</w:t>
      </w:r>
      <w:bookmarkStart w:id="1346" w:name="_Toc351203619"/>
      <w:bookmarkStart w:id="1347" w:name="_Toc337558834"/>
      <w:r>
        <w:rPr>
          <w:rFonts w:hint="eastAsia" w:asciiTheme="minorEastAsia" w:hAnsiTheme="minorEastAsia" w:eastAsiaTheme="minorEastAsia" w:cstheme="minorEastAsia"/>
          <w:sz w:val="21"/>
          <w:szCs w:val="21"/>
        </w:rPr>
        <w:t>义务的一方当事人未</w:t>
      </w:r>
      <w:bookmarkEnd w:id="1346"/>
      <w:r>
        <w:rPr>
          <w:rFonts w:hint="eastAsia" w:asciiTheme="minorEastAsia" w:hAnsiTheme="minorEastAsia" w:eastAsiaTheme="minorEastAsia" w:cstheme="minorEastAsia"/>
          <w:sz w:val="21"/>
          <w:szCs w:val="21"/>
        </w:rPr>
        <w:t>按</w:t>
      </w:r>
      <w:bookmarkEnd w:id="1347"/>
      <w:r>
        <w:rPr>
          <w:rFonts w:hint="eastAsia" w:asciiTheme="minorEastAsia" w:hAnsiTheme="minorEastAsia" w:eastAsiaTheme="minorEastAsia" w:cstheme="minorEastAsia"/>
          <w:sz w:val="21"/>
          <w:szCs w:val="21"/>
        </w:rPr>
        <w:t>合同约定办理某项保险，导致受益人未能得到足额赔偿的，由负有投保义务的一方当事人负责按照原应从该项保险得到的保险金数额进行补足。</w:t>
      </w:r>
    </w:p>
    <w:p>
      <w:pPr>
        <w:pStyle w:val="87"/>
        <w:spacing w:afterLines="0"/>
        <w:ind w:left="0"/>
        <w:rPr>
          <w:rFonts w:asciiTheme="minorEastAsia" w:hAnsiTheme="minorEastAsia" w:eastAsiaTheme="minorEastAsia" w:cstheme="minorEastAsia"/>
          <w:sz w:val="21"/>
        </w:rPr>
      </w:pPr>
      <w:bookmarkStart w:id="1348" w:name="_Ref4692685"/>
      <w:r>
        <w:rPr>
          <w:rFonts w:hint="eastAsia" w:asciiTheme="minorEastAsia" w:hAnsiTheme="minorEastAsia" w:eastAsiaTheme="minorEastAsia" w:cstheme="minorEastAsia"/>
          <w:sz w:val="21"/>
        </w:rPr>
        <w:t>18.5.4 通知义务</w:t>
      </w:r>
      <w:bookmarkEnd w:id="134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除专用合同条件另有约定外，任何一方当事人变更除工伤保险之外的保险合同时，应事先征得另一方当事人同意，并通知工程师。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保险事故发生时，投保人应按照保险合同规定的条件和期限及时向保险人报告。发包人和承包人应当在知道保险事故发生后及时通知对方。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双方按本条规定投保不减少双方在合同下的其他义务。</w:t>
      </w:r>
    </w:p>
    <w:p>
      <w:pPr>
        <w:pStyle w:val="85"/>
        <w:numPr>
          <w:ilvl w:val="0"/>
          <w:numId w:val="0"/>
        </w:numPr>
        <w:adjustRightInd w:val="0"/>
        <w:snapToGrid w:val="0"/>
        <w:rPr>
          <w:rFonts w:asciiTheme="minorEastAsia" w:hAnsiTheme="minorEastAsia" w:eastAsiaTheme="minorEastAsia" w:cstheme="minorEastAsia"/>
          <w:bCs/>
          <w:sz w:val="21"/>
          <w:szCs w:val="21"/>
        </w:rPr>
      </w:pPr>
      <w:bookmarkStart w:id="1349" w:name="_Toc14433"/>
      <w:bookmarkStart w:id="1350" w:name="_Toc113958585"/>
      <w:bookmarkStart w:id="1351" w:name="_Ref11874997"/>
      <w:bookmarkStart w:id="1352" w:name="_Toc54862320"/>
      <w:r>
        <w:rPr>
          <w:rFonts w:hint="eastAsia" w:asciiTheme="minorEastAsia" w:hAnsiTheme="minorEastAsia" w:eastAsiaTheme="minorEastAsia" w:cstheme="minorEastAsia"/>
          <w:bCs/>
          <w:sz w:val="21"/>
          <w:szCs w:val="21"/>
        </w:rPr>
        <w:t>第19条 索赔</w:t>
      </w:r>
      <w:bookmarkEnd w:id="1253"/>
      <w:bookmarkEnd w:id="1254"/>
      <w:bookmarkEnd w:id="1349"/>
      <w:bookmarkEnd w:id="1350"/>
      <w:bookmarkEnd w:id="1351"/>
      <w:bookmarkEnd w:id="1352"/>
      <w:r>
        <w:rPr>
          <w:rFonts w:hint="eastAsia" w:asciiTheme="minorEastAsia" w:hAnsiTheme="minorEastAsia" w:eastAsiaTheme="minorEastAsia" w:cstheme="minorEastAsia"/>
          <w:bCs/>
          <w:sz w:val="21"/>
          <w:szCs w:val="21"/>
        </w:rPr>
        <w:t xml:space="preserve"> </w:t>
      </w:r>
    </w:p>
    <w:p>
      <w:pPr>
        <w:pStyle w:val="86"/>
        <w:widowControl/>
        <w:spacing w:afterLines="0"/>
        <w:ind w:left="0"/>
        <w:rPr>
          <w:rFonts w:asciiTheme="minorEastAsia" w:hAnsiTheme="minorEastAsia" w:eastAsiaTheme="minorEastAsia" w:cstheme="minorEastAsia"/>
          <w:b w:val="0"/>
          <w:bCs/>
          <w:sz w:val="21"/>
          <w:szCs w:val="21"/>
        </w:rPr>
      </w:pPr>
      <w:bookmarkStart w:id="1353" w:name="_Ref4798164"/>
      <w:bookmarkStart w:id="1354" w:name="_Ref4798173"/>
      <w:bookmarkStart w:id="1355" w:name="_Toc54862321"/>
      <w:bookmarkStart w:id="1356" w:name="_Toc13339"/>
      <w:bookmarkStart w:id="1357" w:name="_Toc113958586"/>
      <w:r>
        <w:rPr>
          <w:rFonts w:hint="eastAsia" w:asciiTheme="minorEastAsia" w:hAnsiTheme="minorEastAsia" w:eastAsiaTheme="minorEastAsia" w:cstheme="minorEastAsia"/>
          <w:b w:val="0"/>
          <w:bCs/>
          <w:sz w:val="21"/>
          <w:szCs w:val="21"/>
        </w:rPr>
        <w:t>19.1 索赔</w:t>
      </w:r>
      <w:bookmarkEnd w:id="1353"/>
      <w:bookmarkEnd w:id="1354"/>
      <w:r>
        <w:rPr>
          <w:rFonts w:hint="eastAsia" w:asciiTheme="minorEastAsia" w:hAnsiTheme="minorEastAsia" w:eastAsiaTheme="minorEastAsia" w:cstheme="minorEastAsia"/>
          <w:b w:val="0"/>
          <w:bCs/>
          <w:sz w:val="21"/>
          <w:szCs w:val="21"/>
        </w:rPr>
        <w:t>的提出</w:t>
      </w:r>
      <w:bookmarkEnd w:id="1355"/>
      <w:bookmarkEnd w:id="1356"/>
      <w:bookmarkEnd w:id="1357"/>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根据合同约定，任意一方认为有权得到追加/减少付款、延长缺陷责任期和（或）延长工期的，应按以下程序向对方提出索赔：</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索赔方应在知道或应当知道索赔事件发生后28天内，向对方递交索赔意向通知书，并说明发生索赔事件的事由；索赔方未在前述28天内发出索赔意向通知书的，丧失要求追加/减少付款、延长缺陷责任期和（或）延长工期的权利；</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索赔方应在发出索赔意向通知书后28天内，向对方正式递交索赔报告；索赔报告应详细说明索赔理由以及要求追加的付款金额、延长缺陷责任期和（或）延长的工期，并附必要的记录和证明材料；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索赔事件具有持续影响的，索赔方应每月递交延续索赔通知，说明持续影响的实际情况和记录，列出累计的追加付款金额、延长缺陷责任期和（或）工期延长天数；</w:t>
      </w:r>
    </w:p>
    <w:p>
      <w:pPr>
        <w:adjustRightInd w:val="0"/>
        <w:snapToGrid w:val="0"/>
        <w:spacing w:line="360" w:lineRule="auto"/>
        <w:ind w:firstLine="420" w:firstLineChars="200"/>
        <w:rPr>
          <w:rFonts w:asciiTheme="minorEastAsia" w:hAnsiTheme="minorEastAsia" w:eastAsiaTheme="minorEastAsia" w:cstheme="minorEastAsia"/>
          <w:sz w:val="21"/>
          <w:szCs w:val="21"/>
        </w:rPr>
      </w:pPr>
      <w:bookmarkStart w:id="1358" w:name="_Ref4796178"/>
      <w:r>
        <w:rPr>
          <w:rFonts w:hint="eastAsia" w:asciiTheme="minorEastAsia" w:hAnsiTheme="minorEastAsia" w:eastAsiaTheme="minorEastAsia" w:cstheme="minorEastAsia"/>
          <w:sz w:val="21"/>
          <w:szCs w:val="21"/>
        </w:rPr>
        <w:t>（4） 在索赔事件影响结束后28天内，索赔方应向对方递交最终索赔报告，说明最终要求索赔的追加付款金额、延长缺陷责任期和（或）延长的工期，并附必要的记录和证明材料。</w:t>
      </w:r>
      <w:bookmarkEnd w:id="135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承包人作为索赔方时，其索赔意向通知书、索赔报告及相关索赔文件应向工程师提出；发包人作为索赔方时，其索赔意向通知书、索赔报告及相关索赔文件可自行向承包人提出或由工程师向承包人提出。</w:t>
      </w:r>
    </w:p>
    <w:p>
      <w:pPr>
        <w:pStyle w:val="86"/>
        <w:widowControl/>
        <w:spacing w:afterLines="0"/>
        <w:ind w:left="0"/>
        <w:rPr>
          <w:rFonts w:asciiTheme="minorEastAsia" w:hAnsiTheme="minorEastAsia" w:eastAsiaTheme="minorEastAsia" w:cstheme="minorEastAsia"/>
          <w:b w:val="0"/>
          <w:bCs/>
          <w:sz w:val="21"/>
          <w:szCs w:val="21"/>
        </w:rPr>
      </w:pPr>
      <w:bookmarkStart w:id="1359" w:name="_Toc54862322"/>
      <w:bookmarkStart w:id="1360" w:name="_Toc13225"/>
      <w:bookmarkStart w:id="1361" w:name="_Toc113958587"/>
      <w:bookmarkStart w:id="1362" w:name="_Ref4796262"/>
      <w:bookmarkStart w:id="1363" w:name="_Ref4796254"/>
      <w:r>
        <w:rPr>
          <w:rFonts w:hint="eastAsia" w:asciiTheme="minorEastAsia" w:hAnsiTheme="minorEastAsia" w:eastAsiaTheme="minorEastAsia" w:cstheme="minorEastAsia"/>
          <w:b w:val="0"/>
          <w:bCs/>
          <w:sz w:val="21"/>
          <w:szCs w:val="21"/>
        </w:rPr>
        <w:t>19.2 承包人索赔的处理程序</w:t>
      </w:r>
      <w:bookmarkEnd w:id="1359"/>
      <w:bookmarkEnd w:id="1360"/>
      <w:bookmarkEnd w:id="1361"/>
      <w:bookmarkEnd w:id="1362"/>
      <w:bookmarkEnd w:id="1363"/>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工程师收到承包人提交的索赔报告后，应及时审查索赔报告的内容、查验承包人的记录和证明材料，必要时工程师可要求承包人提交全部原始记录副本。</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工程师应按第3.6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承包人接受索赔处理结果的，发包人应在作出索赔处理结果答复后28天内完成支付。承包人不接受索赔处理结果的，按照第20条[争议解决]约定处理。</w:t>
      </w:r>
    </w:p>
    <w:p>
      <w:pPr>
        <w:pStyle w:val="86"/>
        <w:widowControl/>
        <w:spacing w:afterLines="0"/>
        <w:ind w:left="0"/>
        <w:rPr>
          <w:rFonts w:asciiTheme="minorEastAsia" w:hAnsiTheme="minorEastAsia" w:eastAsiaTheme="minorEastAsia" w:cstheme="minorEastAsia"/>
          <w:b w:val="0"/>
          <w:bCs/>
          <w:sz w:val="21"/>
          <w:szCs w:val="21"/>
        </w:rPr>
      </w:pPr>
      <w:bookmarkStart w:id="1364" w:name="_Toc113958588"/>
      <w:bookmarkStart w:id="1365" w:name="_Toc25663"/>
      <w:bookmarkStart w:id="1366" w:name="_Toc54862323"/>
      <w:r>
        <w:rPr>
          <w:rFonts w:hint="eastAsia" w:asciiTheme="minorEastAsia" w:hAnsiTheme="minorEastAsia" w:eastAsiaTheme="minorEastAsia" w:cstheme="minorEastAsia"/>
          <w:b w:val="0"/>
          <w:bCs/>
          <w:sz w:val="21"/>
          <w:szCs w:val="21"/>
        </w:rPr>
        <w:t>19.3 发包人索赔的处理程序</w:t>
      </w:r>
      <w:bookmarkEnd w:id="1364"/>
      <w:bookmarkEnd w:id="1365"/>
      <w:bookmarkEnd w:id="1366"/>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承包人收到发包人提交的索赔报告后，应及时审查索赔报告的内容、查验发包人证明材料；</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承包人应在收到上述索赔报告或有关索赔的进一步证明材料后42天内，将索赔处理结果答复发包人。承包人在收到索赔通知书或有关索赔的进一步证明材料后的42天内不予答复的，视为认可索赔。</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发包人接受索赔处理结果的，发包人可从应支付给承包人的合同价款中扣除赔付的金额或延长缺陷责任期；发包人不接受索赔处理结果的，按第20条[争议解决]约定处理。</w:t>
      </w:r>
    </w:p>
    <w:p>
      <w:pPr>
        <w:pStyle w:val="86"/>
        <w:widowControl/>
        <w:spacing w:afterLines="0"/>
        <w:ind w:left="0"/>
        <w:rPr>
          <w:rFonts w:asciiTheme="minorEastAsia" w:hAnsiTheme="minorEastAsia" w:eastAsiaTheme="minorEastAsia" w:cstheme="minorEastAsia"/>
          <w:b w:val="0"/>
          <w:bCs/>
          <w:sz w:val="21"/>
          <w:szCs w:val="21"/>
        </w:rPr>
      </w:pPr>
      <w:bookmarkStart w:id="1367" w:name="_Toc28273"/>
      <w:bookmarkStart w:id="1368" w:name="_Toc113958589"/>
      <w:bookmarkStart w:id="1369" w:name="_Toc54862324"/>
      <w:r>
        <w:rPr>
          <w:rFonts w:hint="eastAsia" w:asciiTheme="minorEastAsia" w:hAnsiTheme="minorEastAsia" w:eastAsiaTheme="minorEastAsia" w:cstheme="minorEastAsia"/>
          <w:b w:val="0"/>
          <w:bCs/>
          <w:sz w:val="21"/>
          <w:szCs w:val="21"/>
        </w:rPr>
        <w:t>19.4 提出索赔的期限</w:t>
      </w:r>
      <w:bookmarkEnd w:id="1367"/>
      <w:bookmarkEnd w:id="1368"/>
      <w:bookmarkEnd w:id="136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承包人按第14.5款[竣工结算</w:t>
      </w:r>
      <w:bookmarkStart w:id="1370" w:name="_Ref3826629"/>
      <w:bookmarkStart w:id="1371" w:name="_Ref3826634"/>
      <w:r>
        <w:rPr>
          <w:rFonts w:hint="eastAsia" w:asciiTheme="minorEastAsia" w:hAnsiTheme="minorEastAsia" w:eastAsiaTheme="minorEastAsia" w:cstheme="minorEastAsia"/>
          <w:sz w:val="21"/>
          <w:szCs w:val="21"/>
        </w:rPr>
        <w:t>]约定接收竣工付款证书后，应被认为已无权再提出在合同工程接收证书颁发前所发生的任何索赔。</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承包人按第14.7款[最终结清]提交的最终结清申请单中，只限于提出工程接收证书颁发后发生的索赔。提出索赔的期限均自接受最终结清证书时终止。</w:t>
      </w:r>
      <w:bookmarkEnd w:id="1370"/>
      <w:bookmarkEnd w:id="1371"/>
    </w:p>
    <w:p>
      <w:pPr>
        <w:pStyle w:val="85"/>
        <w:numPr>
          <w:ilvl w:val="0"/>
          <w:numId w:val="0"/>
        </w:numPr>
        <w:adjustRightInd w:val="0"/>
        <w:snapToGrid w:val="0"/>
        <w:rPr>
          <w:rFonts w:asciiTheme="minorEastAsia" w:hAnsiTheme="minorEastAsia" w:eastAsiaTheme="minorEastAsia" w:cstheme="minorEastAsia"/>
          <w:bCs/>
          <w:sz w:val="21"/>
          <w:szCs w:val="21"/>
        </w:rPr>
      </w:pPr>
      <w:bookmarkStart w:id="1372" w:name="_Toc54862325"/>
      <w:bookmarkStart w:id="1373" w:name="_Ref532197861"/>
      <w:bookmarkStart w:id="1374" w:name="_Ref532142075"/>
      <w:bookmarkStart w:id="1375" w:name="_Toc16111"/>
      <w:bookmarkStart w:id="1376" w:name="_Toc113958590"/>
      <w:r>
        <w:rPr>
          <w:rFonts w:hint="eastAsia" w:asciiTheme="minorEastAsia" w:hAnsiTheme="minorEastAsia" w:eastAsiaTheme="minorEastAsia" w:cstheme="minorEastAsia"/>
          <w:bCs/>
          <w:sz w:val="21"/>
          <w:szCs w:val="21"/>
        </w:rPr>
        <w:t>第20条 争议解决</w:t>
      </w:r>
      <w:bookmarkEnd w:id="1372"/>
      <w:bookmarkEnd w:id="1373"/>
      <w:bookmarkEnd w:id="1374"/>
      <w:bookmarkEnd w:id="1375"/>
      <w:bookmarkEnd w:id="1376"/>
      <w:r>
        <w:rPr>
          <w:rFonts w:hint="eastAsia" w:asciiTheme="minorEastAsia" w:hAnsiTheme="minorEastAsia" w:eastAsiaTheme="minorEastAsia" w:cstheme="minorEastAsia"/>
          <w:bCs/>
          <w:sz w:val="21"/>
          <w:szCs w:val="21"/>
        </w:rPr>
        <w:t xml:space="preserve"> </w:t>
      </w:r>
    </w:p>
    <w:p>
      <w:pPr>
        <w:pStyle w:val="86"/>
        <w:widowControl/>
        <w:spacing w:afterLines="0"/>
        <w:ind w:left="0"/>
        <w:rPr>
          <w:rFonts w:asciiTheme="minorEastAsia" w:hAnsiTheme="minorEastAsia" w:eastAsiaTheme="minorEastAsia" w:cstheme="minorEastAsia"/>
          <w:b w:val="0"/>
          <w:bCs/>
          <w:sz w:val="21"/>
          <w:szCs w:val="21"/>
        </w:rPr>
      </w:pPr>
      <w:bookmarkStart w:id="1377" w:name="_Toc54862326"/>
      <w:bookmarkStart w:id="1378" w:name="_Toc30567"/>
      <w:bookmarkStart w:id="1379" w:name="_Ref415507198"/>
      <w:bookmarkStart w:id="1380" w:name="_Toc113958591"/>
      <w:r>
        <w:rPr>
          <w:rFonts w:hint="eastAsia" w:asciiTheme="minorEastAsia" w:hAnsiTheme="minorEastAsia" w:eastAsiaTheme="minorEastAsia" w:cstheme="minorEastAsia"/>
          <w:b w:val="0"/>
          <w:bCs/>
          <w:sz w:val="21"/>
          <w:szCs w:val="21"/>
        </w:rPr>
        <w:t>20.1 和解</w:t>
      </w:r>
      <w:bookmarkEnd w:id="1377"/>
      <w:bookmarkEnd w:id="1378"/>
      <w:bookmarkEnd w:id="1379"/>
      <w:bookmarkEnd w:id="138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合同当事人可以就争议自行和解，自行和解达成协议的经双方签字并盖章后作为合同补充文件，双方均应遵照执行。</w:t>
      </w:r>
    </w:p>
    <w:p>
      <w:pPr>
        <w:pStyle w:val="86"/>
        <w:widowControl/>
        <w:spacing w:afterLines="0"/>
        <w:ind w:left="0"/>
        <w:rPr>
          <w:rFonts w:asciiTheme="minorEastAsia" w:hAnsiTheme="minorEastAsia" w:eastAsiaTheme="minorEastAsia" w:cstheme="minorEastAsia"/>
          <w:b w:val="0"/>
          <w:bCs/>
          <w:sz w:val="21"/>
          <w:szCs w:val="21"/>
        </w:rPr>
      </w:pPr>
      <w:bookmarkStart w:id="1381" w:name="_Toc113958592"/>
      <w:bookmarkStart w:id="1382" w:name="_Toc10901"/>
      <w:bookmarkStart w:id="1383" w:name="_Toc54862327"/>
      <w:r>
        <w:rPr>
          <w:rFonts w:hint="eastAsia" w:asciiTheme="minorEastAsia" w:hAnsiTheme="minorEastAsia" w:eastAsiaTheme="minorEastAsia" w:cstheme="minorEastAsia"/>
          <w:b w:val="0"/>
          <w:bCs/>
          <w:sz w:val="21"/>
          <w:szCs w:val="21"/>
        </w:rPr>
        <w:t>20.2 调解</w:t>
      </w:r>
      <w:bookmarkEnd w:id="1381"/>
      <w:bookmarkEnd w:id="1382"/>
      <w:bookmarkEnd w:id="1383"/>
      <w:r>
        <w:rPr>
          <w:rFonts w:hint="eastAsia" w:asciiTheme="minorEastAsia" w:hAnsiTheme="minorEastAsia" w:eastAsiaTheme="minorEastAsia" w:cstheme="minorEastAsia"/>
          <w:b w:val="0"/>
          <w:bCs/>
          <w:sz w:val="21"/>
          <w:szCs w:val="21"/>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合同当事人可以就争议请求建设行政主管部门、行业协会或其他第三方进行调解，调解达成协议的，经双方签字盖章后作为合同补充文件，双方均应遵照执行。</w:t>
      </w:r>
    </w:p>
    <w:p>
      <w:pPr>
        <w:pStyle w:val="86"/>
        <w:widowControl/>
        <w:spacing w:afterLines="0"/>
        <w:ind w:left="0"/>
        <w:rPr>
          <w:rFonts w:asciiTheme="minorEastAsia" w:hAnsiTheme="minorEastAsia" w:eastAsiaTheme="minorEastAsia" w:cstheme="minorEastAsia"/>
          <w:b w:val="0"/>
          <w:bCs/>
          <w:sz w:val="21"/>
          <w:szCs w:val="21"/>
        </w:rPr>
      </w:pPr>
      <w:bookmarkStart w:id="1384" w:name="_Ref532221527"/>
      <w:bookmarkStart w:id="1385" w:name="_Toc11261"/>
      <w:bookmarkStart w:id="1386" w:name="_Toc113958593"/>
      <w:bookmarkStart w:id="1387" w:name="_Ref532221532"/>
      <w:bookmarkStart w:id="1388" w:name="_Toc54862328"/>
      <w:r>
        <w:rPr>
          <w:rFonts w:hint="eastAsia" w:asciiTheme="minorEastAsia" w:hAnsiTheme="minorEastAsia" w:eastAsiaTheme="minorEastAsia" w:cstheme="minorEastAsia"/>
          <w:b w:val="0"/>
          <w:bCs/>
          <w:sz w:val="21"/>
          <w:szCs w:val="21"/>
        </w:rPr>
        <w:t>20.3 争议评审</w:t>
      </w:r>
      <w:bookmarkEnd w:id="1384"/>
      <w:bookmarkEnd w:id="1385"/>
      <w:bookmarkEnd w:id="1386"/>
      <w:bookmarkEnd w:id="1387"/>
      <w:bookmarkEnd w:id="138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合同当事人在专用合同条件中约定采取争议评审方式及评审规则解决争议的，按下列约定执行：</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20.3.1 争议评审小组的确定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除专用合同条件另有约定外，争议评审员报酬由发包人和承包人各承担一半。</w:t>
      </w:r>
    </w:p>
    <w:p>
      <w:pPr>
        <w:pStyle w:val="87"/>
        <w:spacing w:afterLines="0"/>
        <w:ind w:left="0"/>
        <w:rPr>
          <w:rFonts w:asciiTheme="minorEastAsia" w:hAnsiTheme="minorEastAsia" w:eastAsiaTheme="minorEastAsia" w:cstheme="minorEastAsia"/>
          <w:sz w:val="21"/>
        </w:rPr>
      </w:pPr>
      <w:bookmarkStart w:id="1389" w:name="_Ref532287270"/>
      <w:r>
        <w:rPr>
          <w:rFonts w:hint="eastAsia" w:asciiTheme="minorEastAsia" w:hAnsiTheme="minorEastAsia" w:eastAsiaTheme="minorEastAsia" w:cstheme="minorEastAsia"/>
          <w:sz w:val="21"/>
        </w:rPr>
        <w:t>20.3.2 争议的避免</w:t>
      </w:r>
      <w:bookmarkEnd w:id="1389"/>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合同当事人协商一致，可以共同书面请求争议评审小组，就合同履行过程中可能出现争议的情况提供协助或进行非正式讨论，争议评审小组应给出公正的意见或建议。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此类协助或非正式讨论可在任何会议、施工现场视察或其他场合进行，并且除专用合同条件另有约定外，发包人和承包人均应出席。</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87"/>
        <w:spacing w:afterLines="0"/>
        <w:ind w:left="0"/>
        <w:rPr>
          <w:rFonts w:asciiTheme="minorEastAsia" w:hAnsiTheme="minorEastAsia" w:eastAsiaTheme="minorEastAsia" w:cstheme="minorEastAsia"/>
          <w:sz w:val="21"/>
        </w:rPr>
      </w:pPr>
      <w:bookmarkStart w:id="1390" w:name="_Ref4695594"/>
      <w:r>
        <w:rPr>
          <w:rFonts w:hint="eastAsia" w:asciiTheme="minorEastAsia" w:hAnsiTheme="minorEastAsia" w:eastAsiaTheme="minorEastAsia" w:cstheme="minorEastAsia"/>
          <w:sz w:val="21"/>
        </w:rPr>
        <w:t>20.3.3 争议评审小组的决定</w:t>
      </w:r>
      <w:bookmarkEnd w:id="1390"/>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87"/>
        <w:spacing w:afterLines="0"/>
        <w:ind w:left="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t>20.3.4 争议评审小组决定的效力</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争议评审小组作出的书面决定经合同当事人签字确认后，对双方具有约束力，双方应遵照执行。</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任何一方当事人不接受争议评审小组决定或不履行争议评审小组决定的，双方可选择采用其他争议解决方式。</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任何一方当事人不接受争议评审小组的决定，并不影响暂时执行争议评审小组的决定，直到在后续的采用其他争议解决方式中对争议评审小组的决定进行了改变。</w:t>
      </w:r>
    </w:p>
    <w:p>
      <w:pPr>
        <w:pStyle w:val="86"/>
        <w:widowControl/>
        <w:spacing w:afterLines="0"/>
        <w:ind w:left="0"/>
        <w:rPr>
          <w:rFonts w:asciiTheme="minorEastAsia" w:hAnsiTheme="minorEastAsia" w:eastAsiaTheme="minorEastAsia" w:cstheme="minorEastAsia"/>
          <w:b w:val="0"/>
          <w:bCs/>
          <w:sz w:val="21"/>
          <w:szCs w:val="21"/>
        </w:rPr>
      </w:pPr>
      <w:bookmarkStart w:id="1391" w:name="_Toc54862329"/>
      <w:bookmarkStart w:id="1392" w:name="_Toc1245"/>
      <w:bookmarkStart w:id="1393" w:name="_Ref532221752"/>
      <w:bookmarkStart w:id="1394" w:name="_Toc113958594"/>
      <w:bookmarkStart w:id="1395" w:name="_Ref532221748"/>
      <w:r>
        <w:rPr>
          <w:rFonts w:hint="eastAsia" w:asciiTheme="minorEastAsia" w:hAnsiTheme="minorEastAsia" w:eastAsiaTheme="minorEastAsia" w:cstheme="minorEastAsia"/>
          <w:b w:val="0"/>
          <w:bCs/>
          <w:sz w:val="21"/>
          <w:szCs w:val="21"/>
        </w:rPr>
        <w:t>20.4 仲裁或诉讼</w:t>
      </w:r>
      <w:bookmarkEnd w:id="1391"/>
      <w:bookmarkEnd w:id="1392"/>
      <w:bookmarkEnd w:id="1393"/>
      <w:bookmarkEnd w:id="1394"/>
      <w:bookmarkEnd w:id="1395"/>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因合同及合同有关事项产生的争议，合同当事人可以在专用合同条件中约定以下一种方式解决争议：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向约定的仲裁委员会申请仲裁；</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向有管辖权的人民法院起诉。</w:t>
      </w:r>
    </w:p>
    <w:p>
      <w:pPr>
        <w:pStyle w:val="86"/>
        <w:widowControl/>
        <w:spacing w:afterLines="0"/>
        <w:ind w:left="0"/>
        <w:rPr>
          <w:rFonts w:asciiTheme="minorEastAsia" w:hAnsiTheme="minorEastAsia" w:eastAsiaTheme="minorEastAsia" w:cstheme="minorEastAsia"/>
          <w:b w:val="0"/>
          <w:bCs/>
          <w:sz w:val="21"/>
          <w:szCs w:val="21"/>
        </w:rPr>
      </w:pPr>
      <w:bookmarkStart w:id="1396" w:name="_Toc54862330"/>
      <w:bookmarkStart w:id="1397" w:name="_Toc6437"/>
      <w:bookmarkStart w:id="1398" w:name="_Toc113958595"/>
      <w:r>
        <w:rPr>
          <w:rFonts w:hint="eastAsia" w:asciiTheme="minorEastAsia" w:hAnsiTheme="minorEastAsia" w:eastAsiaTheme="minorEastAsia" w:cstheme="minorEastAsia"/>
          <w:b w:val="0"/>
          <w:bCs/>
          <w:sz w:val="21"/>
          <w:szCs w:val="21"/>
        </w:rPr>
        <w:t>20.5 争议解决条款效力</w:t>
      </w:r>
      <w:bookmarkEnd w:id="1396"/>
      <w:bookmarkEnd w:id="1397"/>
      <w:bookmarkEnd w:id="1398"/>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合同有关争议解决的条款独立存在，合同的不生效、无效、被撤销或者终止的，不影响合同中有关争议解决条款的效力。</w:t>
      </w:r>
    </w:p>
    <w:p>
      <w:pPr>
        <w:adjustRightInd w:val="0"/>
        <w:snapToGrid w:val="0"/>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28"/>
          <w:szCs w:val="40"/>
        </w:rPr>
      </w:pPr>
      <w:bookmarkStart w:id="1399" w:name="_Toc113958596"/>
      <w:bookmarkStart w:id="1400" w:name="_Toc7426"/>
      <w:bookmarkStart w:id="1401" w:name="_Toc54862331"/>
      <w:r>
        <w:rPr>
          <w:rFonts w:hint="eastAsia" w:asciiTheme="minorEastAsia" w:hAnsiTheme="minorEastAsia" w:eastAsiaTheme="minorEastAsia" w:cstheme="minorEastAsia"/>
          <w:sz w:val="28"/>
          <w:szCs w:val="40"/>
        </w:rPr>
        <w:t>第三部分 专用合同条件</w:t>
      </w:r>
      <w:bookmarkEnd w:id="1399"/>
      <w:bookmarkEnd w:id="1400"/>
      <w:bookmarkEnd w:id="1401"/>
    </w:p>
    <w:p>
      <w:pPr>
        <w:adjustRightInd w:val="0"/>
        <w:snapToGrid w:val="0"/>
        <w:spacing w:line="360" w:lineRule="auto"/>
        <w:ind w:firstLine="480" w:firstLineChars="200"/>
        <w:rPr>
          <w:rFonts w:asciiTheme="minorEastAsia" w:hAnsiTheme="minorEastAsia" w:eastAsiaTheme="minorEastAsia"/>
          <w:bCs/>
          <w:sz w:val="24"/>
          <w:szCs w:val="24"/>
        </w:rPr>
      </w:pPr>
      <w:bookmarkStart w:id="1402" w:name="_Toc54862351"/>
      <w:r>
        <w:rPr>
          <w:rFonts w:asciiTheme="minorEastAsia" w:hAnsiTheme="minorEastAsia" w:eastAsiaTheme="minorEastAsia"/>
          <w:bCs/>
          <w:sz w:val="24"/>
          <w:szCs w:val="24"/>
        </w:rPr>
        <w:t>注：专用条款为下述情况下的条款：即通用条款中的规定所涉及的需在专用条款中阐明替代解决办法的条款。如果在专用条款中未给出替代解决办法，则应按通用条款中的规定执行。</w:t>
      </w:r>
    </w:p>
    <w:p>
      <w:pPr>
        <w:numPr>
          <w:ilvl w:val="0"/>
          <w:numId w:val="7"/>
        </w:numPr>
        <w:adjustRightInd w:val="0"/>
        <w:snapToGrid w:val="0"/>
        <w:spacing w:line="360" w:lineRule="auto"/>
        <w:ind w:left="-1" w:leftChars="-43" w:hanging="94" w:hangingChars="39"/>
        <w:jc w:val="left"/>
        <w:rPr>
          <w:rFonts w:asciiTheme="minorEastAsia" w:hAnsiTheme="minorEastAsia" w:eastAsiaTheme="minorEastAsia"/>
          <w:bCs/>
          <w:sz w:val="24"/>
          <w:szCs w:val="24"/>
        </w:rPr>
      </w:pPr>
      <w:bookmarkStart w:id="1403" w:name="1__一般约定"/>
      <w:bookmarkEnd w:id="1403"/>
      <w:r>
        <w:rPr>
          <w:rFonts w:hint="eastAsia" w:asciiTheme="minorEastAsia" w:hAnsiTheme="minorEastAsia" w:eastAsiaTheme="minorEastAsia"/>
          <w:bCs/>
          <w:sz w:val="24"/>
          <w:szCs w:val="24"/>
        </w:rPr>
        <w:t>一般约定</w:t>
      </w:r>
    </w:p>
    <w:p>
      <w:pPr>
        <w:numPr>
          <w:ilvl w:val="1"/>
          <w:numId w:val="7"/>
        </w:numPr>
        <w:adjustRightInd w:val="0"/>
        <w:snapToGrid w:val="0"/>
        <w:spacing w:line="360" w:lineRule="auto"/>
        <w:ind w:left="-1" w:leftChars="-43" w:hanging="94" w:hangingChars="39"/>
        <w:rPr>
          <w:rFonts w:asciiTheme="minorEastAsia" w:hAnsiTheme="minorEastAsia" w:eastAsiaTheme="minorEastAsia"/>
          <w:bCs/>
          <w:sz w:val="24"/>
          <w:szCs w:val="24"/>
        </w:rPr>
      </w:pPr>
      <w:bookmarkStart w:id="1404" w:name="1.1__词语定义"/>
      <w:bookmarkEnd w:id="1404"/>
      <w:r>
        <w:rPr>
          <w:rFonts w:asciiTheme="minorEastAsia" w:hAnsiTheme="minorEastAsia" w:eastAsiaTheme="minorEastAsia"/>
          <w:bCs/>
          <w:sz w:val="24"/>
          <w:szCs w:val="24"/>
        </w:rPr>
        <w:t>词语定义</w:t>
      </w:r>
    </w:p>
    <w:p>
      <w:pPr>
        <w:numPr>
          <w:ilvl w:val="2"/>
          <w:numId w:val="7"/>
        </w:num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承包人项目经理：项目负责人。</w:t>
      </w:r>
    </w:p>
    <w:p>
      <w:pPr>
        <w:numPr>
          <w:ilvl w:val="2"/>
          <w:numId w:val="7"/>
        </w:num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日期、期限、试验和竣工</w:t>
      </w:r>
    </w:p>
    <w:p>
      <w:pPr>
        <w:numPr>
          <w:ilvl w:val="2"/>
          <w:numId w:val="7"/>
        </w:num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“开始工作日期”指发包人发出的开工通知中所确定的日期，即</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年</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月</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日。</w:t>
      </w:r>
    </w:p>
    <w:p>
      <w:pPr>
        <w:numPr>
          <w:ilvl w:val="2"/>
          <w:numId w:val="7"/>
        </w:num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“竣工日期”指</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年</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月</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日或开工日期后满【</w:t>
      </w:r>
      <w:r>
        <w:rPr>
          <w:rFonts w:asciiTheme="minorEastAsia" w:hAnsiTheme="minorEastAsia" w:eastAsiaTheme="minorEastAsia"/>
          <w:bCs/>
          <w:sz w:val="24"/>
          <w:szCs w:val="24"/>
        </w:rPr>
        <w:tab/>
      </w:r>
      <w:r>
        <w:rPr>
          <w:rFonts w:asciiTheme="minorEastAsia" w:hAnsiTheme="minorEastAsia" w:eastAsiaTheme="minorEastAsia"/>
          <w:bCs/>
          <w:sz w:val="24"/>
          <w:szCs w:val="24"/>
        </w:rPr>
        <w:t>】日。</w:t>
      </w:r>
    </w:p>
    <w:p>
      <w:pPr>
        <w:numPr>
          <w:ilvl w:val="1"/>
          <w:numId w:val="7"/>
        </w:numPr>
        <w:adjustRightInd w:val="0"/>
        <w:snapToGrid w:val="0"/>
        <w:spacing w:line="360" w:lineRule="auto"/>
        <w:ind w:left="-1" w:leftChars="-43" w:hanging="94" w:hangingChars="39"/>
        <w:rPr>
          <w:rFonts w:asciiTheme="minorEastAsia" w:hAnsiTheme="minorEastAsia" w:eastAsiaTheme="minorEastAsia"/>
          <w:bCs/>
          <w:sz w:val="24"/>
          <w:szCs w:val="24"/>
        </w:rPr>
      </w:pPr>
      <w:bookmarkStart w:id="1405" w:name="1.2__语言文字"/>
      <w:bookmarkEnd w:id="1405"/>
      <w:r>
        <w:rPr>
          <w:rFonts w:asciiTheme="minorEastAsia" w:hAnsiTheme="minorEastAsia" w:eastAsiaTheme="minorEastAsia"/>
          <w:bCs/>
          <w:sz w:val="24"/>
          <w:szCs w:val="24"/>
        </w:rPr>
        <w:t>语言文字</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本合同语言为：中文简体语言（即汉语）和</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u w:val="single"/>
        </w:rPr>
        <w:t>／</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0"/>
          <w:numId w:val="7"/>
        </w:numPr>
        <w:adjustRightInd w:val="0"/>
        <w:snapToGrid w:val="0"/>
        <w:spacing w:line="360" w:lineRule="auto"/>
        <w:ind w:left="-1" w:leftChars="-43" w:hanging="94" w:hangingChars="39"/>
        <w:jc w:val="left"/>
        <w:rPr>
          <w:rFonts w:asciiTheme="minorEastAsia" w:hAnsiTheme="minorEastAsia" w:eastAsiaTheme="minorEastAsia"/>
          <w:bCs/>
          <w:sz w:val="24"/>
          <w:szCs w:val="24"/>
        </w:rPr>
      </w:pPr>
      <w:bookmarkStart w:id="1406" w:name="2__发包人"/>
      <w:bookmarkEnd w:id="1406"/>
      <w:r>
        <w:rPr>
          <w:rFonts w:hint="eastAsia" w:asciiTheme="minorEastAsia" w:hAnsiTheme="minorEastAsia" w:eastAsiaTheme="minorEastAsia"/>
          <w:bCs/>
          <w:sz w:val="24"/>
          <w:szCs w:val="24"/>
        </w:rPr>
        <w:t>发包人</w:t>
      </w:r>
    </w:p>
    <w:p>
      <w:pPr>
        <w:numPr>
          <w:ilvl w:val="1"/>
          <w:numId w:val="7"/>
        </w:numPr>
        <w:adjustRightInd w:val="0"/>
        <w:snapToGrid w:val="0"/>
        <w:spacing w:line="360" w:lineRule="auto"/>
        <w:ind w:left="-1" w:leftChars="-43" w:hanging="94" w:hangingChars="39"/>
        <w:rPr>
          <w:rFonts w:asciiTheme="minorEastAsia" w:hAnsiTheme="minorEastAsia" w:eastAsiaTheme="minorEastAsia"/>
          <w:bCs/>
          <w:sz w:val="24"/>
          <w:szCs w:val="24"/>
        </w:rPr>
      </w:pPr>
      <w:bookmarkStart w:id="1407" w:name="2.1__其他义务"/>
      <w:bookmarkEnd w:id="1407"/>
      <w:r>
        <w:rPr>
          <w:rFonts w:asciiTheme="minorEastAsia" w:hAnsiTheme="minorEastAsia" w:eastAsiaTheme="minorEastAsia"/>
          <w:bCs/>
          <w:sz w:val="24"/>
          <w:szCs w:val="24"/>
        </w:rPr>
        <w:t>其他义务</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发包人指定的为本工程服务的发包人代表为：</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发包人代表应具备的职权：</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发包人供应的设备和材料：</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0"/>
          <w:numId w:val="7"/>
        </w:numPr>
        <w:adjustRightInd w:val="0"/>
        <w:snapToGrid w:val="0"/>
        <w:spacing w:line="360" w:lineRule="auto"/>
        <w:ind w:left="-1" w:leftChars="-43" w:hanging="94" w:hangingChars="39"/>
        <w:jc w:val="left"/>
        <w:rPr>
          <w:rFonts w:asciiTheme="minorEastAsia" w:hAnsiTheme="minorEastAsia" w:eastAsiaTheme="minorEastAsia"/>
          <w:bCs/>
          <w:sz w:val="24"/>
          <w:szCs w:val="24"/>
        </w:rPr>
      </w:pPr>
      <w:bookmarkStart w:id="1408" w:name="3__监理人"/>
      <w:bookmarkEnd w:id="1408"/>
      <w:r>
        <w:rPr>
          <w:rFonts w:hint="eastAsia" w:asciiTheme="minorEastAsia" w:hAnsiTheme="minorEastAsia" w:eastAsiaTheme="minorEastAsia"/>
          <w:bCs/>
          <w:sz w:val="24"/>
          <w:szCs w:val="24"/>
        </w:rPr>
        <w:t>监理人</w:t>
      </w:r>
    </w:p>
    <w:p>
      <w:pPr>
        <w:numPr>
          <w:ilvl w:val="1"/>
          <w:numId w:val="7"/>
        </w:numPr>
        <w:adjustRightInd w:val="0"/>
        <w:snapToGrid w:val="0"/>
        <w:spacing w:line="360" w:lineRule="auto"/>
        <w:ind w:left="-1" w:leftChars="-43" w:hanging="94" w:hangingChars="39"/>
        <w:rPr>
          <w:rFonts w:asciiTheme="minorEastAsia" w:hAnsiTheme="minorEastAsia" w:eastAsiaTheme="minorEastAsia"/>
          <w:bCs/>
          <w:sz w:val="24"/>
          <w:szCs w:val="24"/>
        </w:rPr>
      </w:pPr>
      <w:bookmarkStart w:id="1409" w:name="3.1__总监工程师"/>
      <w:bookmarkEnd w:id="1409"/>
      <w:r>
        <w:rPr>
          <w:rFonts w:asciiTheme="minorEastAsia" w:hAnsiTheme="minorEastAsia" w:eastAsiaTheme="minorEastAsia"/>
          <w:bCs/>
          <w:sz w:val="24"/>
          <w:szCs w:val="24"/>
        </w:rPr>
        <w:t>总监工程师</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总监工程师：</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总监工程师职权：</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0"/>
          <w:numId w:val="7"/>
        </w:numPr>
        <w:adjustRightInd w:val="0"/>
        <w:snapToGrid w:val="0"/>
        <w:spacing w:line="360" w:lineRule="auto"/>
        <w:ind w:left="-1" w:leftChars="-43" w:hanging="94" w:hangingChars="39"/>
        <w:jc w:val="left"/>
        <w:rPr>
          <w:rFonts w:asciiTheme="minorEastAsia" w:hAnsiTheme="minorEastAsia" w:eastAsiaTheme="minorEastAsia"/>
          <w:bCs/>
          <w:sz w:val="24"/>
          <w:szCs w:val="24"/>
        </w:rPr>
      </w:pPr>
      <w:bookmarkStart w:id="1410" w:name="4_承包人"/>
      <w:bookmarkEnd w:id="1410"/>
      <w:r>
        <w:rPr>
          <w:rFonts w:hint="eastAsia" w:asciiTheme="minorEastAsia" w:hAnsiTheme="minorEastAsia" w:eastAsiaTheme="minorEastAsia"/>
          <w:bCs/>
          <w:sz w:val="24"/>
          <w:szCs w:val="24"/>
        </w:rPr>
        <w:t>承包人</w:t>
      </w:r>
    </w:p>
    <w:p>
      <w:pPr>
        <w:numPr>
          <w:ilvl w:val="1"/>
          <w:numId w:val="8"/>
        </w:numPr>
        <w:adjustRightInd w:val="0"/>
        <w:snapToGrid w:val="0"/>
        <w:spacing w:line="360" w:lineRule="auto"/>
        <w:ind w:left="-1" w:leftChars="-43" w:hanging="94" w:hangingChars="39"/>
        <w:rPr>
          <w:rFonts w:asciiTheme="minorEastAsia" w:hAnsiTheme="minorEastAsia" w:eastAsiaTheme="minorEastAsia"/>
          <w:bCs/>
          <w:sz w:val="24"/>
          <w:szCs w:val="24"/>
        </w:rPr>
      </w:pPr>
      <w:bookmarkStart w:id="1411" w:name="4.1__分包和不得转包"/>
      <w:bookmarkEnd w:id="1411"/>
      <w:r>
        <w:rPr>
          <w:rFonts w:asciiTheme="minorEastAsia" w:hAnsiTheme="minorEastAsia" w:eastAsiaTheme="minorEastAsia"/>
          <w:bCs/>
          <w:sz w:val="24"/>
          <w:szCs w:val="24"/>
        </w:rPr>
        <w:t>分包和不得转包</w:t>
      </w:r>
    </w:p>
    <w:p>
      <w:pPr>
        <w:numPr>
          <w:ilvl w:val="2"/>
          <w:numId w:val="8"/>
        </w:num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分包商的选择</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分包工程：</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；主要分包商：</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分包工程：</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；主要分包商：</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分包工程：</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；主要分包商：</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43" w:hanging="94" w:hangingChars="39"/>
        <w:rPr>
          <w:rFonts w:asciiTheme="minorEastAsia" w:hAnsiTheme="minorEastAsia" w:eastAsiaTheme="minorEastAsia"/>
          <w:bCs/>
          <w:sz w:val="24"/>
          <w:szCs w:val="24"/>
        </w:rPr>
      </w:pPr>
      <w:r>
        <w:rPr>
          <w:rFonts w:asciiTheme="minorEastAsia" w:hAnsiTheme="minorEastAsia" w:eastAsiaTheme="minorEastAsia"/>
          <w:bCs/>
          <w:sz w:val="24"/>
          <w:szCs w:val="24"/>
        </w:rPr>
        <w:t>除发包人另有要求外，承包人须以</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方式择优选择合格的分包商。</w:t>
      </w:r>
    </w:p>
    <w:p>
      <w:pPr>
        <w:adjustRightInd w:val="0"/>
        <w:snapToGri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承包人应向发包人提供与本工程建设标准相符的潜在分包商名单。</w:t>
      </w:r>
    </w:p>
    <w:p>
      <w:pPr>
        <w:adjustRightInd w:val="0"/>
        <w:snapToGri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承包人提出的潜在分包商须经发包人确认。若发包人对承包人提供的分包商提出质疑，承包人应提供相应的资料证明（如：企业资质、产品样本、供货业绩、设施人力状况证明资料等），若承包人仍试图推荐被发包人否定的分包商，承包人应组织实地考察等有效验证方法并承担发包人由此产生的全部费用，发包人通过实地考察等有效验证方法决定是否录用。如果承包人最终不能提供令发包人满意的潜在分包商，发包人可直接指定分包商，承包人将接受并承担由此而引起的工期延误等全部责任。</w:t>
      </w:r>
    </w:p>
    <w:p>
      <w:pPr>
        <w:adjustRightInd w:val="0"/>
        <w:snapToGri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在项目执行过程中，发包人有权提出增补、修订合格分包商名录。</w:t>
      </w:r>
    </w:p>
    <w:p>
      <w:pPr>
        <w:adjustRightInd w:val="0"/>
        <w:snapToGrid w:val="0"/>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发包人有权随时进入分包商的工厂进行质量、进度检查。承包商必须在其分包合同、订单中对发包人的此项权利加以规定，并在发包人行使此项权利时给予配合、提供便利条件。承包商不得把这种检查作为分包商对质量的有效控制的证据。</w:t>
      </w:r>
    </w:p>
    <w:p>
      <w:pPr>
        <w:numPr>
          <w:ilvl w:val="1"/>
          <w:numId w:val="8"/>
        </w:numPr>
        <w:adjustRightInd w:val="0"/>
        <w:snapToGrid w:val="0"/>
        <w:spacing w:line="360" w:lineRule="auto"/>
        <w:ind w:left="-1" w:leftChars="-115" w:hanging="252" w:hangingChars="105"/>
        <w:rPr>
          <w:rFonts w:asciiTheme="minorEastAsia" w:hAnsiTheme="minorEastAsia" w:eastAsiaTheme="minorEastAsia"/>
          <w:bCs/>
          <w:sz w:val="24"/>
          <w:szCs w:val="24"/>
        </w:rPr>
      </w:pPr>
      <w:bookmarkStart w:id="1412" w:name="4.2__承包人项目经理"/>
      <w:bookmarkEnd w:id="1412"/>
      <w:r>
        <w:rPr>
          <w:rFonts w:asciiTheme="minorEastAsia" w:hAnsiTheme="minorEastAsia" w:eastAsiaTheme="minorEastAsia"/>
          <w:bCs/>
          <w:sz w:val="24"/>
          <w:szCs w:val="24"/>
        </w:rPr>
        <w:t>承包人项目经理</w:t>
      </w:r>
    </w:p>
    <w:p>
      <w:pPr>
        <w:numPr>
          <w:ilvl w:val="2"/>
          <w:numId w:val="8"/>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承包人为本工程指派的承包人代表为：</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承包人代表应具备的职权：</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0"/>
          <w:numId w:val="7"/>
        </w:numPr>
        <w:adjustRightInd w:val="0"/>
        <w:snapToGrid w:val="0"/>
        <w:spacing w:line="360" w:lineRule="auto"/>
        <w:ind w:left="-1" w:leftChars="-115" w:hanging="252" w:hangingChars="105"/>
        <w:jc w:val="left"/>
        <w:rPr>
          <w:rFonts w:asciiTheme="minorEastAsia" w:hAnsiTheme="minorEastAsia" w:eastAsiaTheme="minorEastAsia"/>
          <w:bCs/>
          <w:sz w:val="24"/>
          <w:szCs w:val="24"/>
        </w:rPr>
      </w:pPr>
      <w:bookmarkStart w:id="1413" w:name="5__设计"/>
      <w:bookmarkEnd w:id="1413"/>
      <w:r>
        <w:rPr>
          <w:rFonts w:hint="eastAsia" w:asciiTheme="minorEastAsia" w:hAnsiTheme="minorEastAsia" w:eastAsiaTheme="minorEastAsia"/>
          <w:bCs/>
          <w:sz w:val="24"/>
          <w:szCs w:val="24"/>
        </w:rPr>
        <w:t>设计</w:t>
      </w:r>
    </w:p>
    <w:p>
      <w:pPr>
        <w:numPr>
          <w:ilvl w:val="1"/>
          <w:numId w:val="7"/>
        </w:numPr>
        <w:adjustRightInd w:val="0"/>
        <w:snapToGrid w:val="0"/>
        <w:spacing w:line="360" w:lineRule="auto"/>
        <w:ind w:left="-1" w:leftChars="-115" w:hanging="252" w:hangingChars="105"/>
        <w:rPr>
          <w:rFonts w:asciiTheme="minorEastAsia" w:hAnsiTheme="minorEastAsia" w:eastAsiaTheme="minorEastAsia"/>
          <w:bCs/>
          <w:sz w:val="24"/>
          <w:szCs w:val="24"/>
        </w:rPr>
      </w:pPr>
      <w:bookmarkStart w:id="1414" w:name="5.1__承包人的设计业务"/>
      <w:bookmarkEnd w:id="1414"/>
      <w:r>
        <w:rPr>
          <w:rFonts w:asciiTheme="minorEastAsia" w:hAnsiTheme="minorEastAsia" w:eastAsiaTheme="minorEastAsia"/>
          <w:bCs/>
          <w:sz w:val="24"/>
          <w:szCs w:val="24"/>
        </w:rPr>
        <w:t>承包人的设计业务</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本合同中，承包人需完成的设计阶段：</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承包人被视为已仔细审查了发包人要求(包括设计标准和计算（如果有）。</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承包人负责“技术标准及要求”中所列工程相关的技术方案、技术规范和要求、设计标准、设计计算以及关于该工程设计、执行的全部现场资料与文件的正确性，并对上述技术文件的正确性和合理性承担责任。</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承包人应负责工程的设计，并在除下列发包人应负责的部分外，对发包人要求(包括设计标准和计算)的正确性负责。</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发包人应对由发包人提供的下列数据和资料的正确性负责：</w:t>
      </w:r>
    </w:p>
    <w:p>
      <w:pPr>
        <w:numPr>
          <w:ilvl w:val="0"/>
          <w:numId w:val="9"/>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在合同中规定的由发包人负责的部分、数据和资料；</w:t>
      </w:r>
    </w:p>
    <w:p>
      <w:pPr>
        <w:numPr>
          <w:ilvl w:val="0"/>
          <w:numId w:val="9"/>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对工程或其任何部分的预期目的的说明；</w:t>
      </w:r>
    </w:p>
    <w:p>
      <w:pPr>
        <w:numPr>
          <w:ilvl w:val="0"/>
          <w:numId w:val="9"/>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除合同另有说明外，承包人不能核实的部分、数据和资料。</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u w:val="single"/>
          <w:lang w:val="en-US"/>
        </w:rPr>
      </w:pPr>
      <w:r>
        <w:rPr>
          <w:rFonts w:asciiTheme="minorEastAsia" w:hAnsiTheme="minorEastAsia" w:eastAsiaTheme="minorEastAsia"/>
          <w:bCs/>
          <w:sz w:val="24"/>
          <w:szCs w:val="24"/>
          <w:u w:val="single"/>
          <w:lang w:val="en-US"/>
        </w:rPr>
        <w:t>承包人应负责工程设计的组织、协调、进度控制等所有相关设计工作，并负责对该工程的所有设计工作进行审查，对所有相关设计文件的正确性承担责任。并按合同中承包人文件的有关要求，提供全部的承包人设计文件最终版。</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u w:val="single"/>
          <w:lang w:val="en-US"/>
        </w:rPr>
      </w:pPr>
      <w:r>
        <w:rPr>
          <w:rFonts w:asciiTheme="minorEastAsia" w:hAnsiTheme="minorEastAsia" w:eastAsiaTheme="minorEastAsia"/>
          <w:bCs/>
          <w:sz w:val="24"/>
          <w:szCs w:val="24"/>
          <w:u w:val="single"/>
          <w:lang w:val="en-US"/>
        </w:rPr>
        <w:t>承包人设计文件应包括发包人要求中规定的技术文件、为满足所有规章要求报批的文件、以及竣工文件。承包人应编制所有的承包人文件，还应编制指导承包人人员所需要的任何其他文件。</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承包人承诺其设计、承包人文件、实施和竣工的工程符合：</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建设工程质量管理条例》、《建设工程勘察设计管理条例》和国家强制性标准条文；满足现行的建筑工程建设标准、设计施工规范（规程）和规定的相应设计文件编制深度要求，经过变更做出更改或修正的构成合同的各项文件。</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承包人应编制并随时更新一套完整的、有关工程施工情况的“竣工”记录，如实记载竣工工程的准确位置、尺寸和实施工作的详细说明。上述竣工记录应保存在现场，并仅限用于本款的目的。应在竣工验收开始前，提交两套副本给发包人。此外，承包人应负责绘制并向发包人提供工程的竣工图，表明整个工程的施工完毕的实际情况，提交发包人根据设计文件的规定进行审核。承包人应取得发包人对他们的尺寸、基准系统、及其他相关细节的同意。在颁发任何移交证书前，承包人应按照发包人要求中规定的份数和复制形式，向发包人提交上述相关的竣工图。在发包人收到这些文件前，不应认为工程已经按照单位工程验收规定的接收要求竣工。</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资料移交</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工程竣工验收合格后 30 日内，承包人必须提交给发包人与项目有关的设计、施工文件，包括但不限于：</w:t>
      </w:r>
    </w:p>
    <w:p>
      <w:pPr>
        <w:numPr>
          <w:ilvl w:val="0"/>
          <w:numId w:val="10"/>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工程设计的全套设计图纸（含施工图审查资料）及竣工图、详细地质勘查资料。</w:t>
      </w:r>
    </w:p>
    <w:p>
      <w:pPr>
        <w:numPr>
          <w:ilvl w:val="0"/>
          <w:numId w:val="10"/>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建设过程中的各种文件记录。</w:t>
      </w:r>
    </w:p>
    <w:p>
      <w:pPr>
        <w:numPr>
          <w:ilvl w:val="0"/>
          <w:numId w:val="10"/>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工程竣工验收资料。</w:t>
      </w:r>
    </w:p>
    <w:p>
      <w:pPr>
        <w:numPr>
          <w:ilvl w:val="0"/>
          <w:numId w:val="10"/>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其他技术资料和文件。</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注：项目实施过程中，设计负责人持续对本项目进行技术支持，能够应招标人的要求到达施工现场解决问题。</w:t>
      </w:r>
    </w:p>
    <w:p>
      <w:pPr>
        <w:numPr>
          <w:ilvl w:val="0"/>
          <w:numId w:val="7"/>
        </w:numPr>
        <w:adjustRightInd w:val="0"/>
        <w:snapToGrid w:val="0"/>
        <w:spacing w:line="360" w:lineRule="auto"/>
        <w:ind w:left="-1" w:leftChars="-115" w:hanging="252" w:hangingChars="105"/>
        <w:jc w:val="left"/>
        <w:rPr>
          <w:rFonts w:asciiTheme="minorEastAsia" w:hAnsiTheme="minorEastAsia" w:eastAsiaTheme="minorEastAsia"/>
          <w:bCs/>
          <w:sz w:val="24"/>
          <w:szCs w:val="24"/>
        </w:rPr>
      </w:pPr>
      <w:bookmarkStart w:id="1415" w:name="6__材料和工程设备"/>
      <w:bookmarkEnd w:id="1415"/>
      <w:r>
        <w:rPr>
          <w:rFonts w:hint="eastAsia" w:asciiTheme="minorEastAsia" w:hAnsiTheme="minorEastAsia" w:eastAsiaTheme="minorEastAsia"/>
          <w:bCs/>
          <w:sz w:val="24"/>
          <w:szCs w:val="24"/>
        </w:rPr>
        <w:t>材料和工程设备</w:t>
      </w:r>
    </w:p>
    <w:p>
      <w:pPr>
        <w:numPr>
          <w:ilvl w:val="1"/>
          <w:numId w:val="7"/>
        </w:numPr>
        <w:adjustRightInd w:val="0"/>
        <w:snapToGrid w:val="0"/>
        <w:spacing w:line="360" w:lineRule="auto"/>
        <w:ind w:left="-1" w:leftChars="-115" w:hanging="252" w:hangingChars="105"/>
        <w:rPr>
          <w:rFonts w:asciiTheme="minorEastAsia" w:hAnsiTheme="minorEastAsia" w:eastAsiaTheme="minorEastAsia"/>
          <w:bCs/>
          <w:sz w:val="24"/>
          <w:szCs w:val="24"/>
        </w:rPr>
      </w:pPr>
      <w:bookmarkStart w:id="1416" w:name="6.1__承包人提供的材料和工程设备"/>
      <w:bookmarkEnd w:id="1416"/>
      <w:r>
        <w:rPr>
          <w:rFonts w:asciiTheme="minorEastAsia" w:hAnsiTheme="minorEastAsia" w:eastAsiaTheme="minorEastAsia"/>
          <w:bCs/>
          <w:sz w:val="24"/>
          <w:szCs w:val="24"/>
        </w:rPr>
        <w:t>承包人提供的材料和工程设备</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承包人为本工程采购的设备和材料包括：</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对于本工程所需进口设备和材料（如有），其相关出入关手续办理人为：</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0"/>
          <w:numId w:val="7"/>
        </w:numPr>
        <w:adjustRightInd w:val="0"/>
        <w:snapToGrid w:val="0"/>
        <w:spacing w:line="360" w:lineRule="auto"/>
        <w:ind w:left="-1" w:leftChars="-115" w:hanging="252" w:hangingChars="105"/>
        <w:jc w:val="left"/>
        <w:rPr>
          <w:rFonts w:asciiTheme="minorEastAsia" w:hAnsiTheme="minorEastAsia" w:eastAsiaTheme="minorEastAsia"/>
          <w:bCs/>
          <w:sz w:val="24"/>
          <w:szCs w:val="24"/>
        </w:rPr>
      </w:pPr>
      <w:bookmarkStart w:id="1417" w:name="7__施工设备和临时设施"/>
      <w:bookmarkEnd w:id="1417"/>
      <w:r>
        <w:rPr>
          <w:rFonts w:hint="eastAsia" w:asciiTheme="minorEastAsia" w:hAnsiTheme="minorEastAsia" w:eastAsiaTheme="minorEastAsia"/>
          <w:bCs/>
          <w:sz w:val="24"/>
          <w:szCs w:val="24"/>
        </w:rPr>
        <w:t>施工设备和临时设施</w:t>
      </w:r>
    </w:p>
    <w:p>
      <w:pPr>
        <w:numPr>
          <w:ilvl w:val="1"/>
          <w:numId w:val="7"/>
        </w:numPr>
        <w:adjustRightInd w:val="0"/>
        <w:snapToGrid w:val="0"/>
        <w:spacing w:line="360" w:lineRule="auto"/>
        <w:ind w:left="-1" w:leftChars="-115" w:hanging="252" w:hangingChars="105"/>
        <w:rPr>
          <w:rFonts w:asciiTheme="minorEastAsia" w:hAnsiTheme="minorEastAsia" w:eastAsiaTheme="minorEastAsia"/>
          <w:bCs/>
          <w:sz w:val="24"/>
          <w:szCs w:val="24"/>
        </w:rPr>
      </w:pPr>
      <w:bookmarkStart w:id="1418" w:name="7.1__承包人提供的施工设施和临时设施"/>
      <w:bookmarkEnd w:id="1418"/>
      <w:r>
        <w:rPr>
          <w:rFonts w:asciiTheme="minorEastAsia" w:hAnsiTheme="minorEastAsia" w:eastAsiaTheme="minorEastAsia"/>
          <w:bCs/>
          <w:sz w:val="24"/>
          <w:szCs w:val="24"/>
        </w:rPr>
        <w:t>承包人提供的施工设施和临时设施</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协助发包人办理开工等批准手续</w:t>
      </w:r>
    </w:p>
    <w:p>
      <w:p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rPr>
        <w:t>发包人将依法律规定应由其办理的批准手续委托给承包人办理的包括：</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2"/>
          <w:numId w:val="7"/>
        </w:numPr>
        <w:adjustRightInd w:val="0"/>
        <w:snapToGrid w:val="0"/>
        <w:spacing w:line="360" w:lineRule="auto"/>
        <w:ind w:left="-1" w:leftChars="-115" w:hanging="252" w:hangingChars="105"/>
        <w:rPr>
          <w:rFonts w:asciiTheme="minorEastAsia" w:hAnsiTheme="minorEastAsia" w:eastAsiaTheme="minorEastAsia"/>
          <w:bCs/>
          <w:sz w:val="24"/>
          <w:szCs w:val="24"/>
          <w:lang w:val="en-US"/>
        </w:rPr>
      </w:pPr>
      <w:r>
        <w:rPr>
          <w:rFonts w:asciiTheme="minorEastAsia" w:hAnsiTheme="minorEastAsia" w:eastAsiaTheme="minorEastAsia"/>
          <w:bCs/>
          <w:sz w:val="24"/>
          <w:szCs w:val="24"/>
        </w:rPr>
        <w:t>由承包人履行的其他义务：</w:t>
      </w:r>
      <w:r>
        <w:rPr>
          <w:rFonts w:asciiTheme="minorEastAsia" w:hAnsiTheme="minorEastAsia" w:eastAsiaTheme="minorEastAsia"/>
          <w:bCs/>
          <w:sz w:val="24"/>
          <w:szCs w:val="24"/>
          <w:u w:val="single"/>
        </w:rPr>
        <w:t>1）投标文件规定的项目管理机构，承包人需在合同签署后 3 日内组建完成。包括项目经理在内的承包人工程项目管理人员更换，须经发包人书面同意；未经发包人书面同意而更换</w:t>
      </w:r>
      <w:r>
        <w:rPr>
          <w:rFonts w:hint="eastAsia" w:asciiTheme="minorEastAsia" w:hAnsiTheme="minorEastAsia" w:eastAsiaTheme="minorEastAsia"/>
          <w:bCs/>
          <w:sz w:val="24"/>
          <w:szCs w:val="24"/>
          <w:u w:val="single"/>
          <w:lang w:val="en-US"/>
        </w:rPr>
        <w:t xml:space="preserve">按12.1.12条规定执行 </w:t>
      </w:r>
      <w:r>
        <w:rPr>
          <w:rFonts w:asciiTheme="minorEastAsia" w:hAnsiTheme="minorEastAsia" w:eastAsiaTheme="minorEastAsia"/>
          <w:bCs/>
          <w:sz w:val="24"/>
          <w:szCs w:val="24"/>
          <w:u w:val="single"/>
        </w:rPr>
        <w:t>。发包人认为承包人派驻的项目经理及其他管理人员不称职，有权要求承包人撤换，撤换要求的通知送达承包人之日起 7 日内，承包人应指派新的符合要求项目经理及其他管理人员。</w:t>
      </w:r>
      <w:r>
        <w:rPr>
          <w:rFonts w:hint="eastAsia" w:asciiTheme="minorEastAsia" w:hAnsiTheme="minorEastAsia" w:eastAsiaTheme="minorEastAsia"/>
          <w:bCs/>
          <w:sz w:val="24"/>
          <w:szCs w:val="24"/>
          <w:u w:val="single"/>
          <w:lang w:val="en-US"/>
        </w:rPr>
        <w:t>(被撤换的按   元/次扣违约金，以现金转账方式由承包人从本单位基本帐户缴纳至招标人指定帐户）</w:t>
      </w:r>
    </w:p>
    <w:p>
      <w:pPr>
        <w:numPr>
          <w:ilvl w:val="0"/>
          <w:numId w:val="11"/>
        </w:numPr>
        <w:adjustRightInd w:val="0"/>
        <w:snapToGrid w:val="0"/>
        <w:spacing w:line="360" w:lineRule="auto"/>
        <w:ind w:left="-1" w:leftChars="-115" w:hanging="252" w:hangingChars="105"/>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工程开工后，</w:t>
      </w:r>
      <w:r>
        <w:rPr>
          <w:rFonts w:hint="eastAsia" w:asciiTheme="minorEastAsia" w:hAnsiTheme="minorEastAsia" w:eastAsiaTheme="minorEastAsia"/>
          <w:bCs/>
          <w:sz w:val="24"/>
          <w:szCs w:val="24"/>
          <w:u w:val="single"/>
        </w:rPr>
        <w:t>当</w:t>
      </w:r>
      <w:r>
        <w:rPr>
          <w:rFonts w:asciiTheme="minorEastAsia" w:hAnsiTheme="minorEastAsia" w:eastAsiaTheme="minorEastAsia"/>
          <w:bCs/>
          <w:sz w:val="24"/>
          <w:szCs w:val="24"/>
          <w:u w:val="single"/>
        </w:rPr>
        <w:t>月</w:t>
      </w:r>
      <w:r>
        <w:rPr>
          <w:rFonts w:hint="eastAsia" w:asciiTheme="minorEastAsia" w:hAnsiTheme="minorEastAsia" w:eastAsiaTheme="minorEastAsia"/>
          <w:bCs/>
          <w:sz w:val="24"/>
          <w:szCs w:val="24"/>
          <w:u w:val="single"/>
        </w:rPr>
        <w:t>2</w:t>
      </w:r>
      <w:r>
        <w:rPr>
          <w:rFonts w:asciiTheme="minorEastAsia" w:hAnsiTheme="minorEastAsia" w:eastAsiaTheme="minorEastAsia"/>
          <w:bCs/>
          <w:sz w:val="24"/>
          <w:szCs w:val="24"/>
          <w:u w:val="single"/>
        </w:rPr>
        <w:t>5 日前将上月已完工程的形象进度报表（报表和计划表应包括质量、进度、安全、投资、材料计划等内容，反映存在的问题和应对措施；一式四份提交发包人)和对应工程款报监理单位、跟踪审计单位初审。</w:t>
      </w:r>
    </w:p>
    <w:p>
      <w:pPr>
        <w:numPr>
          <w:ilvl w:val="0"/>
          <w:numId w:val="11"/>
        </w:numPr>
        <w:adjustRightInd w:val="0"/>
        <w:snapToGrid w:val="0"/>
        <w:spacing w:line="360" w:lineRule="auto"/>
        <w:ind w:left="-1" w:leftChars="-115" w:hanging="252" w:hangingChars="105"/>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 xml:space="preserve">承包人应按投标文件列明的拟投入本工程的施工周转材料、施工机具，承包人按批准后的施工组织设计运抵现场并投入使用。在施工过程中应根据工程施工需要增加相应的施工机械设备及其他临时或永久性物品、设施。如发包人发现承包人不按投标文件的承诺配置资源时，发包人向承包人发出书面通知，在通知到达承包人后三个日历日内，承包人的资源配置必须到位，否则，从通知到达后的第四日起，视为承包人严重违约，同时承包人资源配置每延误一天到位需向发包人支付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元/天的违约金。</w:t>
      </w:r>
    </w:p>
    <w:p>
      <w:pPr>
        <w:numPr>
          <w:ilvl w:val="0"/>
          <w:numId w:val="11"/>
        </w:numPr>
        <w:adjustRightInd w:val="0"/>
        <w:snapToGrid w:val="0"/>
        <w:spacing w:line="360" w:lineRule="auto"/>
        <w:ind w:left="-1" w:leftChars="-115" w:hanging="252" w:hangingChars="105"/>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检查、复测发包人、总承包人提供的控制点和水准点（含沉降及位移观测点）并对施工现场的结构（建筑）尺寸进行复核，并保护至工程竣工时移交发包人。</w:t>
      </w:r>
    </w:p>
    <w:p>
      <w:pPr>
        <w:numPr>
          <w:ilvl w:val="0"/>
          <w:numId w:val="11"/>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参加发包人及监理单位组织的工程例会。</w:t>
      </w:r>
    </w:p>
    <w:p>
      <w:pPr>
        <w:numPr>
          <w:ilvl w:val="0"/>
          <w:numId w:val="11"/>
        </w:numPr>
        <w:adjustRightInd w:val="0"/>
        <w:snapToGrid w:val="0"/>
        <w:spacing w:line="360" w:lineRule="auto"/>
        <w:ind w:left="-1" w:leftChars="-115" w:hanging="252" w:hangingChars="105"/>
        <w:rPr>
          <w:rFonts w:asciiTheme="minorEastAsia" w:hAnsiTheme="minorEastAsia" w:eastAsiaTheme="minorEastAsia"/>
          <w:bCs/>
          <w:sz w:val="24"/>
          <w:szCs w:val="24"/>
        </w:rPr>
      </w:pPr>
      <w:r>
        <w:rPr>
          <w:rFonts w:asciiTheme="minorEastAsia" w:hAnsiTheme="minorEastAsia" w:eastAsiaTheme="minorEastAsia"/>
          <w:bCs/>
          <w:sz w:val="24"/>
          <w:szCs w:val="24"/>
          <w:u w:val="single"/>
        </w:rPr>
        <w:t>负责做好施工现场内的安全保卫工作，承担由于自身安全防护措施不当造成的经济损失和责任，与发包人无关。</w:t>
      </w:r>
    </w:p>
    <w:p>
      <w:pPr>
        <w:numPr>
          <w:ilvl w:val="0"/>
          <w:numId w:val="11"/>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应遵守工程所在地对施工场地市容、环卫、交通、治安、施工噪音、防疫等管理规定和要求，搞好环境卫生和文明施工，其费用由承包人在措施费中考虑，并办理有关手续。</w:t>
      </w:r>
    </w:p>
    <w:p>
      <w:pPr>
        <w:numPr>
          <w:ilvl w:val="0"/>
          <w:numId w:val="11"/>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做好施工现场周围地下管线和邻近建筑物、构筑物的保护工作。</w:t>
      </w:r>
    </w:p>
    <w:p>
      <w:pPr>
        <w:numPr>
          <w:ilvl w:val="0"/>
          <w:numId w:val="11"/>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负责已完工工程的保护，施工期间至工程竣工验收合格交付前发生的损坏由承包人负责修复。</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承包人必须服从工程所在地行发包人管部门的管理，凡涉及到承包单位的施工备案、车辆准运等有关证、照，均由承包人自行办理，发生的费用全部由承包人承担，包括但不限于相关施工备案费用、排污管理费、噪声管理费、垃圾管理费、扬尘治理费、渣土处置费等。</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节假日、工程所在地重大活动期间以及发包人需要的时间段内，可能对施工作出某些限制和配合要求，承包人应按照要求作出必要的配合，并承担有可能因此而引起工效降低需增加的费用。</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承包人应将垃圾堆放至指定地点，外运费用由承包人承担，如发现垃圾乱放、作业面清理、外运不到位，则由承包人进行清理，所发生的费用由承包人承担。</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进入现场的所有设备、材料，若无监理单位和发包人书面同意，承包人不得运出施工现场。</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在竣工移交前按监理单位书面通知的时间和要求拆除、清运所有临时设施及产生的垃圾，并堆放至指定地点，同时承担相应费用。</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负责完成本合同约定承包人应做的其他工作及承包范围以外的零星委托工作。</w:t>
      </w:r>
    </w:p>
    <w:p>
      <w:pPr>
        <w:numPr>
          <w:ilvl w:val="0"/>
          <w:numId w:val="12"/>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承包人不履行合同规定的各项工作，造成工期延误或经济损失，应承担违约责任，并赔偿损失。</w:t>
      </w:r>
    </w:p>
    <w:p>
      <w:pPr>
        <w:numPr>
          <w:ilvl w:val="0"/>
          <w:numId w:val="7"/>
        </w:numPr>
        <w:adjustRightInd w:val="0"/>
        <w:snapToGrid w:val="0"/>
        <w:spacing w:line="360" w:lineRule="auto"/>
        <w:ind w:left="-4" w:leftChars="-65" w:hanging="139" w:hangingChars="58"/>
        <w:jc w:val="left"/>
        <w:rPr>
          <w:rFonts w:asciiTheme="minorEastAsia" w:hAnsiTheme="minorEastAsia" w:eastAsiaTheme="minorEastAsia"/>
          <w:bCs/>
          <w:sz w:val="24"/>
          <w:szCs w:val="24"/>
        </w:rPr>
      </w:pPr>
      <w:bookmarkStart w:id="1419" w:name="8__开始工作和竣工"/>
      <w:bookmarkEnd w:id="1419"/>
      <w:r>
        <w:rPr>
          <w:rFonts w:hint="eastAsia" w:asciiTheme="minorEastAsia" w:hAnsiTheme="minorEastAsia" w:eastAsiaTheme="minorEastAsia"/>
          <w:bCs/>
          <w:sz w:val="24"/>
          <w:szCs w:val="24"/>
        </w:rPr>
        <w:t>开始工作和竣工</w:t>
      </w:r>
    </w:p>
    <w:p>
      <w:pPr>
        <w:numPr>
          <w:ilvl w:val="1"/>
          <w:numId w:val="7"/>
        </w:numPr>
        <w:adjustRightInd w:val="0"/>
        <w:snapToGrid w:val="0"/>
        <w:spacing w:line="360" w:lineRule="auto"/>
        <w:ind w:left="-4" w:leftChars="-65" w:hanging="139" w:hangingChars="58"/>
        <w:rPr>
          <w:rFonts w:asciiTheme="minorEastAsia" w:hAnsiTheme="minorEastAsia" w:eastAsiaTheme="minorEastAsia"/>
          <w:bCs/>
          <w:sz w:val="24"/>
          <w:szCs w:val="24"/>
        </w:rPr>
      </w:pPr>
      <w:bookmarkStart w:id="1420" w:name="8.1竣工"/>
      <w:bookmarkEnd w:id="1420"/>
      <w:r>
        <w:rPr>
          <w:rFonts w:asciiTheme="minorEastAsia" w:hAnsiTheme="minorEastAsia" w:eastAsiaTheme="minorEastAsia"/>
          <w:bCs/>
          <w:sz w:val="24"/>
          <w:szCs w:val="24"/>
        </w:rPr>
        <w:t>竣工</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竣工日期时单项工程应达到的竣工条件：</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竣工日期时工程应达到的竣工条件：</w:t>
      </w:r>
      <w:r>
        <w:rPr>
          <w:rFonts w:asciiTheme="minorEastAsia" w:hAnsiTheme="minorEastAsia" w:eastAsiaTheme="minorEastAsia"/>
          <w:bCs/>
          <w:sz w:val="24"/>
          <w:szCs w:val="24"/>
          <w:u w:val="single"/>
        </w:rPr>
        <w:tab/>
      </w:r>
      <w:r>
        <w:rPr>
          <w:rFonts w:asciiTheme="minorEastAsia" w:hAnsiTheme="minorEastAsia" w:eastAsiaTheme="minorEastAsia"/>
          <w:bCs/>
          <w:sz w:val="24"/>
          <w:szCs w:val="24"/>
        </w:rPr>
        <w:t>。</w:t>
      </w:r>
    </w:p>
    <w:p>
      <w:pPr>
        <w:numPr>
          <w:ilvl w:val="1"/>
          <w:numId w:val="7"/>
        </w:numPr>
        <w:adjustRightInd w:val="0"/>
        <w:snapToGrid w:val="0"/>
        <w:spacing w:line="360" w:lineRule="auto"/>
        <w:ind w:left="-4" w:leftChars="-65" w:hanging="139" w:hangingChars="58"/>
        <w:rPr>
          <w:rFonts w:asciiTheme="minorEastAsia" w:hAnsiTheme="minorEastAsia" w:eastAsiaTheme="minorEastAsia"/>
          <w:bCs/>
          <w:sz w:val="24"/>
          <w:szCs w:val="24"/>
        </w:rPr>
      </w:pPr>
      <w:bookmarkStart w:id="1421" w:name="8.2__承包人引起的工期延误"/>
      <w:bookmarkEnd w:id="1421"/>
      <w:r>
        <w:rPr>
          <w:rFonts w:asciiTheme="minorEastAsia" w:hAnsiTheme="minorEastAsia" w:eastAsiaTheme="minorEastAsia"/>
          <w:bCs/>
          <w:sz w:val="24"/>
          <w:szCs w:val="24"/>
        </w:rPr>
        <w:t>承包人引起的工期延误</w:t>
      </w:r>
    </w:p>
    <w:p>
      <w:pPr>
        <w:adjustRightInd w:val="0"/>
        <w:snapToGrid w:val="0"/>
        <w:spacing w:line="360" w:lineRule="auto"/>
        <w:ind w:left="234" w:leftChars="-65" w:hanging="377" w:hangingChars="157"/>
        <w:rPr>
          <w:rFonts w:asciiTheme="minorEastAsia" w:hAnsiTheme="minorEastAsia" w:eastAsiaTheme="minorEastAsia"/>
          <w:bCs/>
          <w:sz w:val="24"/>
          <w:szCs w:val="24"/>
          <w:lang w:val="en-US"/>
        </w:rPr>
      </w:pPr>
      <w:r>
        <w:rPr>
          <w:rFonts w:asciiTheme="minorEastAsia" w:hAnsiTheme="minorEastAsia" w:eastAsiaTheme="minorEastAsia"/>
          <w:bCs/>
          <w:sz w:val="24"/>
          <w:szCs w:val="24"/>
          <w:u w:val="single"/>
        </w:rPr>
        <w:t>若因承包人原因造成完工时间每延误 1 天的，</w:t>
      </w:r>
      <w:r>
        <w:rPr>
          <w:rFonts w:hint="eastAsia" w:asciiTheme="minorEastAsia" w:hAnsiTheme="minorEastAsia" w:eastAsiaTheme="minorEastAsia"/>
          <w:bCs/>
          <w:sz w:val="24"/>
          <w:szCs w:val="24"/>
          <w:u w:val="single"/>
          <w:lang w:val="en-US"/>
        </w:rPr>
        <w:t>第一个月</w:t>
      </w:r>
      <w:r>
        <w:rPr>
          <w:rFonts w:asciiTheme="minorEastAsia" w:hAnsiTheme="minorEastAsia" w:eastAsiaTheme="minorEastAsia"/>
          <w:bCs/>
          <w:sz w:val="24"/>
          <w:szCs w:val="24"/>
          <w:u w:val="single"/>
        </w:rPr>
        <w:t>承包人应向发包人支付</w:t>
      </w:r>
      <w:r>
        <w:rPr>
          <w:rFonts w:hint="eastAsia" w:asciiTheme="minorEastAsia" w:hAnsiTheme="minorEastAsia" w:eastAsiaTheme="minorEastAsia"/>
          <w:bCs/>
          <w:sz w:val="24"/>
          <w:szCs w:val="24"/>
          <w:u w:val="single"/>
          <w:lang w:val="en-US"/>
        </w:rPr>
        <w:t xml:space="preserve"> 元</w:t>
      </w:r>
      <w:r>
        <w:rPr>
          <w:rFonts w:asciiTheme="minorEastAsia" w:hAnsiTheme="minorEastAsia" w:eastAsiaTheme="minorEastAsia"/>
          <w:bCs/>
          <w:sz w:val="24"/>
          <w:szCs w:val="24"/>
          <w:u w:val="single"/>
        </w:rPr>
        <w:t>/天</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从第二个月开始为</w:t>
      </w:r>
      <w:r>
        <w:rPr>
          <w:rFonts w:hint="eastAsia" w:asciiTheme="minorEastAsia" w:hAnsiTheme="minorEastAsia" w:eastAsiaTheme="minorEastAsia"/>
          <w:bCs/>
          <w:sz w:val="24"/>
          <w:szCs w:val="24"/>
          <w:u w:val="single"/>
        </w:rPr>
        <w:t>合同总价的</w:t>
      </w:r>
      <w:r>
        <w:rPr>
          <w:rFonts w:hint="eastAsia" w:asciiTheme="minorEastAsia" w:hAnsiTheme="minorEastAsia" w:eastAsiaTheme="minorEastAsia"/>
          <w:bCs/>
          <w:sz w:val="24"/>
          <w:szCs w:val="24"/>
          <w:u w:val="single"/>
          <w:lang w:val="en-US"/>
        </w:rPr>
        <w:t xml:space="preserve">  </w:t>
      </w:r>
      <w:r>
        <w:rPr>
          <w:rFonts w:asciiTheme="minorEastAsia" w:hAnsiTheme="minorEastAsia" w:eastAsiaTheme="minorEastAsia"/>
          <w:bCs/>
          <w:sz w:val="24"/>
          <w:szCs w:val="24"/>
          <w:u w:val="single"/>
        </w:rPr>
        <w:t>/天</w:t>
      </w:r>
      <w:r>
        <w:rPr>
          <w:rFonts w:hint="eastAsia" w:asciiTheme="minorEastAsia" w:hAnsiTheme="minorEastAsia" w:eastAsiaTheme="minorEastAsia"/>
          <w:bCs/>
          <w:sz w:val="24"/>
          <w:szCs w:val="24"/>
          <w:u w:val="single"/>
        </w:rPr>
        <w:t>。</w:t>
      </w:r>
    </w:p>
    <w:p>
      <w:pPr>
        <w:numPr>
          <w:ilvl w:val="0"/>
          <w:numId w:val="7"/>
        </w:numPr>
        <w:adjustRightInd w:val="0"/>
        <w:snapToGrid w:val="0"/>
        <w:spacing w:line="360" w:lineRule="auto"/>
        <w:ind w:left="-4" w:leftChars="-65" w:hanging="139" w:hangingChars="58"/>
        <w:jc w:val="left"/>
        <w:rPr>
          <w:rFonts w:asciiTheme="minorEastAsia" w:hAnsiTheme="minorEastAsia" w:eastAsiaTheme="minorEastAsia"/>
          <w:bCs/>
          <w:sz w:val="24"/>
          <w:szCs w:val="24"/>
        </w:rPr>
      </w:pPr>
      <w:bookmarkStart w:id="1422" w:name="9__变更"/>
      <w:bookmarkEnd w:id="1422"/>
      <w:r>
        <w:rPr>
          <w:rFonts w:hint="eastAsia" w:asciiTheme="minorEastAsia" w:hAnsiTheme="minorEastAsia" w:eastAsiaTheme="minorEastAsia"/>
          <w:bCs/>
          <w:sz w:val="24"/>
          <w:szCs w:val="24"/>
        </w:rPr>
        <w:t>变更</w:t>
      </w:r>
    </w:p>
    <w:p>
      <w:pPr>
        <w:numPr>
          <w:ilvl w:val="0"/>
          <w:numId w:val="13"/>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因法律变更的调整按通用条款执行</w:t>
      </w:r>
    </w:p>
    <w:p>
      <w:pPr>
        <w:numPr>
          <w:ilvl w:val="0"/>
          <w:numId w:val="13"/>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关于变更的范围的约定：1、工程变更执行《淮北市政府投资工程变更管理办法》；2、图纸变更经监理单位签章审核，甲方代表认可，设计部门签章，方可调整；3、经济签证经监理单位签章审核，甲方代表认可并加盖单位公章，方可调整；4、本次招标工程变更及签证部分最终结算款以审计部门审计为准。</w:t>
      </w:r>
    </w:p>
    <w:p>
      <w:pPr>
        <w:numPr>
          <w:ilvl w:val="0"/>
          <w:numId w:val="13"/>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关于变更估价的约定:</w:t>
      </w:r>
      <w:r>
        <w:rPr>
          <w:rFonts w:asciiTheme="minorEastAsia" w:hAnsiTheme="minorEastAsia" w:eastAsiaTheme="minorEastAsia"/>
          <w:bCs/>
          <w:sz w:val="24"/>
          <w:szCs w:val="24"/>
        </w:rPr>
        <w:tab/>
      </w:r>
      <w:r>
        <w:rPr>
          <w:rFonts w:asciiTheme="minorEastAsia" w:hAnsiTheme="minorEastAsia" w:eastAsiaTheme="minorEastAsia"/>
          <w:bCs/>
          <w:sz w:val="24"/>
          <w:szCs w:val="24"/>
        </w:rPr>
        <w:t>①合同中有相同或类似工程项目单价的，可以参照合同中相同或类似项目的综合单价计算确定。</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②合同中没有类似工程项目综合单价的，由承包人根据合同中约定的组价原则或参考“计价依据”提出适当的单价，经发包人或其委托的工程造价咨询单位审定后，作为结算的依据。</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③由于清单项目中项目特征或工程内容发生部分变更的，应以原综合单价为基础，仅就变更部分相应定额子目调整综合单价。</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⑶以上重新组价的综合单价不能高于现行工程造价计价规则和计价依据规定计算的价格，并按中标时审定预算价和中标价间的下浮幅度下浮；本次图纸未明确的所有附属工程均在招标范围内， 按审计部门审定的价款，结合中标价和控制价（扣除预留金）同比例下浮后作为合同价款，并签订补充合同。</w:t>
      </w:r>
    </w:p>
    <w:p>
      <w:pPr>
        <w:numPr>
          <w:ilvl w:val="0"/>
          <w:numId w:val="7"/>
        </w:numPr>
        <w:adjustRightInd w:val="0"/>
        <w:snapToGrid w:val="0"/>
        <w:spacing w:line="360" w:lineRule="auto"/>
        <w:ind w:left="-4" w:leftChars="-65" w:hanging="139" w:hangingChars="58"/>
        <w:jc w:val="left"/>
        <w:rPr>
          <w:rFonts w:asciiTheme="minorEastAsia" w:hAnsiTheme="minorEastAsia" w:eastAsiaTheme="minorEastAsia"/>
          <w:bCs/>
          <w:sz w:val="24"/>
          <w:szCs w:val="24"/>
        </w:rPr>
      </w:pPr>
      <w:bookmarkStart w:id="1423" w:name="10__合同价格和支付"/>
      <w:bookmarkEnd w:id="1423"/>
      <w:r>
        <w:rPr>
          <w:rFonts w:hint="eastAsia" w:asciiTheme="minorEastAsia" w:hAnsiTheme="minorEastAsia" w:eastAsiaTheme="minorEastAsia"/>
          <w:bCs/>
          <w:sz w:val="24"/>
          <w:szCs w:val="24"/>
        </w:rPr>
        <w:t>合同价格和支付</w:t>
      </w:r>
    </w:p>
    <w:p>
      <w:pPr>
        <w:numPr>
          <w:ilvl w:val="1"/>
          <w:numId w:val="7"/>
        </w:numPr>
        <w:adjustRightInd w:val="0"/>
        <w:snapToGrid w:val="0"/>
        <w:spacing w:line="360" w:lineRule="auto"/>
        <w:ind w:left="-4" w:leftChars="-65" w:hanging="139" w:hangingChars="58"/>
        <w:rPr>
          <w:rFonts w:asciiTheme="minorEastAsia" w:hAnsiTheme="minorEastAsia" w:eastAsiaTheme="minorEastAsia"/>
          <w:bCs/>
          <w:sz w:val="24"/>
          <w:szCs w:val="24"/>
        </w:rPr>
      </w:pPr>
      <w:bookmarkStart w:id="1424" w:name="10.1__合同价格"/>
      <w:bookmarkEnd w:id="1424"/>
      <w:r>
        <w:rPr>
          <w:rFonts w:asciiTheme="minorEastAsia" w:hAnsiTheme="minorEastAsia" w:eastAsiaTheme="minorEastAsia"/>
          <w:bCs/>
          <w:sz w:val="24"/>
          <w:szCs w:val="24"/>
        </w:rPr>
        <w:t>合同价格</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详见招标文件，附件：计价方式及合同形式价款确定</w:t>
      </w:r>
    </w:p>
    <w:p>
      <w:pPr>
        <w:numPr>
          <w:ilvl w:val="1"/>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工程进度付款</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1、工程款支付： </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2、</w:t>
      </w:r>
      <w:r>
        <w:rPr>
          <w:rFonts w:hint="eastAsia" w:asciiTheme="minorEastAsia" w:hAnsiTheme="minorEastAsia" w:eastAsiaTheme="minorEastAsia"/>
          <w:bCs/>
          <w:sz w:val="24"/>
          <w:szCs w:val="24"/>
        </w:rPr>
        <w:t>设计费支付：</w:t>
      </w:r>
    </w:p>
    <w:p>
      <w:pPr>
        <w:numPr>
          <w:ilvl w:val="0"/>
          <w:numId w:val="7"/>
        </w:numPr>
        <w:adjustRightInd w:val="0"/>
        <w:snapToGrid w:val="0"/>
        <w:spacing w:line="360" w:lineRule="auto"/>
        <w:ind w:left="-4" w:leftChars="-65" w:hanging="139" w:hangingChars="58"/>
        <w:jc w:val="left"/>
        <w:rPr>
          <w:rFonts w:asciiTheme="minorEastAsia" w:hAnsiTheme="minorEastAsia" w:eastAsiaTheme="minorEastAsia"/>
          <w:bCs/>
          <w:sz w:val="24"/>
          <w:szCs w:val="24"/>
        </w:rPr>
      </w:pPr>
      <w:bookmarkStart w:id="1425" w:name="11__缺陷责任与保修责任"/>
      <w:bookmarkEnd w:id="1425"/>
      <w:r>
        <w:rPr>
          <w:rFonts w:hint="eastAsia" w:asciiTheme="minorEastAsia" w:hAnsiTheme="minorEastAsia" w:eastAsiaTheme="minorEastAsia"/>
          <w:bCs/>
          <w:sz w:val="24"/>
          <w:szCs w:val="24"/>
        </w:rPr>
        <w:t>缺陷责任与保修责任</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缺陷责任期：</w:t>
      </w:r>
      <w:r>
        <w:rPr>
          <w:rFonts w:hint="eastAsia" w:asciiTheme="minorEastAsia" w:hAnsiTheme="minorEastAsia" w:eastAsiaTheme="minorEastAsia"/>
          <w:bCs/>
          <w:sz w:val="24"/>
          <w:szCs w:val="24"/>
          <w:lang w:val="en-US"/>
        </w:rPr>
        <w:t>24</w:t>
      </w:r>
      <w:r>
        <w:rPr>
          <w:rFonts w:asciiTheme="minorEastAsia" w:hAnsiTheme="minorEastAsia" w:eastAsiaTheme="minorEastAsia"/>
          <w:bCs/>
          <w:sz w:val="24"/>
          <w:szCs w:val="24"/>
        </w:rPr>
        <w:t>个月。</w:t>
      </w:r>
    </w:p>
    <w:p>
      <w:pPr>
        <w:numPr>
          <w:ilvl w:val="0"/>
          <w:numId w:val="7"/>
        </w:numPr>
        <w:adjustRightInd w:val="0"/>
        <w:snapToGrid w:val="0"/>
        <w:spacing w:line="360" w:lineRule="auto"/>
        <w:ind w:left="-4" w:leftChars="-65" w:hanging="139" w:hangingChars="58"/>
        <w:jc w:val="left"/>
        <w:rPr>
          <w:rFonts w:asciiTheme="minorEastAsia" w:hAnsiTheme="minorEastAsia" w:eastAsiaTheme="minorEastAsia"/>
          <w:bCs/>
          <w:sz w:val="24"/>
          <w:szCs w:val="24"/>
        </w:rPr>
      </w:pPr>
      <w:bookmarkStart w:id="1426" w:name="12_违约"/>
      <w:bookmarkEnd w:id="1426"/>
      <w:r>
        <w:rPr>
          <w:rFonts w:hint="eastAsia" w:asciiTheme="minorEastAsia" w:hAnsiTheme="minorEastAsia" w:eastAsiaTheme="minorEastAsia"/>
          <w:bCs/>
          <w:sz w:val="24"/>
          <w:szCs w:val="24"/>
        </w:rPr>
        <w:t>违约</w:t>
      </w:r>
    </w:p>
    <w:p>
      <w:pPr>
        <w:numPr>
          <w:ilvl w:val="1"/>
          <w:numId w:val="7"/>
        </w:numPr>
        <w:adjustRightInd w:val="0"/>
        <w:snapToGrid w:val="0"/>
        <w:spacing w:line="360" w:lineRule="auto"/>
        <w:ind w:left="-4" w:leftChars="-65" w:hanging="139" w:hangingChars="58"/>
        <w:rPr>
          <w:rFonts w:asciiTheme="minorEastAsia" w:hAnsiTheme="minorEastAsia" w:eastAsiaTheme="minorEastAsia"/>
          <w:bCs/>
          <w:sz w:val="24"/>
          <w:szCs w:val="24"/>
        </w:rPr>
      </w:pPr>
      <w:bookmarkStart w:id="1427" w:name="12.1承包人违约："/>
      <w:bookmarkEnd w:id="1427"/>
      <w:r>
        <w:rPr>
          <w:rFonts w:asciiTheme="minorEastAsia" w:hAnsiTheme="minorEastAsia" w:eastAsiaTheme="minorEastAsia"/>
          <w:bCs/>
          <w:sz w:val="24"/>
          <w:szCs w:val="24"/>
        </w:rPr>
        <w:t>承包人违约：</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工期延误方面的违约责任</w:t>
      </w:r>
    </w:p>
    <w:p>
      <w:pPr>
        <w:numPr>
          <w:ilvl w:val="0"/>
          <w:numId w:val="14"/>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承包人违反协议书及《合同专用条款》约定延期开工的，每迟延开工 1 天，应给发包人支付本工程合同价款的</w:t>
      </w:r>
      <w:r>
        <w:rPr>
          <w:rFonts w:hint="eastAsia" w:asciiTheme="minorEastAsia" w:hAnsiTheme="minorEastAsia" w:eastAsiaTheme="minorEastAsia"/>
          <w:bCs/>
          <w:sz w:val="24"/>
          <w:szCs w:val="24"/>
          <w:u w:val="single"/>
          <w:lang w:val="en-US"/>
        </w:rPr>
        <w:t xml:space="preserve">   </w:t>
      </w:r>
      <w:r>
        <w:rPr>
          <w:rFonts w:asciiTheme="minorEastAsia" w:hAnsiTheme="minorEastAsia" w:eastAsiaTheme="minorEastAsia"/>
          <w:bCs/>
          <w:sz w:val="24"/>
          <w:szCs w:val="24"/>
          <w:u w:val="single"/>
        </w:rPr>
        <w:t>的违约金；迟延开工超过一周的，发包人有权解除合同，将本工程另行发包</w:t>
      </w:r>
      <w:r>
        <w:rPr>
          <w:rFonts w:hint="eastAsia" w:asciiTheme="minorEastAsia" w:hAnsiTheme="minorEastAsia" w:eastAsiaTheme="minorEastAsia"/>
          <w:bCs/>
          <w:sz w:val="24"/>
          <w:szCs w:val="24"/>
          <w:u w:val="single"/>
        </w:rPr>
        <w:t>。承包人自行离场，所有费用由承包人承担，</w:t>
      </w:r>
      <w:r>
        <w:rPr>
          <w:rFonts w:asciiTheme="minorEastAsia" w:hAnsiTheme="minorEastAsia" w:eastAsiaTheme="minorEastAsia"/>
          <w:bCs/>
          <w:sz w:val="24"/>
          <w:szCs w:val="24"/>
          <w:u w:val="single"/>
        </w:rPr>
        <w:t>并不免除承包人的违约赔偿责任。</w:t>
      </w:r>
    </w:p>
    <w:p>
      <w:pPr>
        <w:numPr>
          <w:ilvl w:val="0"/>
          <w:numId w:val="14"/>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承包人违反合同约定，造成一般节点工期延误时，发包人有权视严重程度作出一般违约至解除合同的违约处罚。造成发包人经济损失的，承包人应据实赔偿。</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工程质量方面的违约责任</w:t>
      </w:r>
    </w:p>
    <w:p>
      <w:pPr>
        <w:numPr>
          <w:ilvl w:val="0"/>
          <w:numId w:val="15"/>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发包人和总监理工程师按照相关的规定和约定抽查承包人的工程材料时，发现所检查的材料与规定和约定的标准的任何一项不符合时，承包人除必须全部退货、返工，并赔偿由此造成的损失外，承包人应当按照该批次材料的价值，按照如下方式承担违约责任：单宗或批次材料价值在10万元以上100万元以下（含 100 万元），承包人承担1次一般违约责任</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。单宗或批次材料价值 100-200万元（含 200 万元），承包人承担1次严重违约责任</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单宗或批次材料价值在200万元以上的，发包人有权部分解除合同或解除合同，并要求承包人赔偿发包人由此遭受的实际损失。对于单宗或批次材料价值不高于10万元的（含10万元），但累计抽检不合格达3次，承包人承担1次一般违约责任</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w:t>
      </w:r>
    </w:p>
    <w:p>
      <w:pPr>
        <w:numPr>
          <w:ilvl w:val="0"/>
          <w:numId w:val="15"/>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对于施工过程中的出现的质量方面的问题以及最终工程质量没有达到约定标准，承包人应按发包人要求修复直至达到竣工验收标准，所产生的费用由承包人承担，同时赔偿发包人的损失。</w:t>
      </w:r>
    </w:p>
    <w:p>
      <w:pPr>
        <w:numPr>
          <w:ilvl w:val="0"/>
          <w:numId w:val="15"/>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 xml:space="preserve">工程保修期内发现重大质量不合格问题（该重大质量问题应界定为达不到要求的质量标准，属质量保修的问题除外），承包人必须在规定的期限返工并达到合同约定的质量等级，并按该不合格项目所处分项工程造价 </w:t>
      </w:r>
      <w:r>
        <w:rPr>
          <w:rFonts w:hint="eastAsia" w:asciiTheme="minorEastAsia" w:hAnsiTheme="minorEastAsia" w:eastAsiaTheme="minorEastAsia"/>
          <w:bCs/>
          <w:sz w:val="24"/>
          <w:szCs w:val="24"/>
          <w:u w:val="single"/>
          <w:lang w:val="en-US"/>
        </w:rPr>
        <w:t>1</w:t>
      </w:r>
      <w:r>
        <w:rPr>
          <w:rFonts w:asciiTheme="minorEastAsia" w:hAnsiTheme="minorEastAsia" w:eastAsiaTheme="minorEastAsia"/>
          <w:bCs/>
          <w:sz w:val="24"/>
          <w:szCs w:val="24"/>
          <w:u w:val="single"/>
        </w:rPr>
        <w:t>‰计算向发包人承担支付违约金的责任。</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安全生产方面的违约责任</w:t>
      </w:r>
    </w:p>
    <w:p>
      <w:pPr>
        <w:numPr>
          <w:ilvl w:val="0"/>
          <w:numId w:val="16"/>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承包人在政府行政主管部门组织的质量安全检查中，被发现存在严重的安全隐患，被通报批评，或被新闻媒体曝光造成不良影响的，被通报或被曝光 1 次，承包人必须承担严重违约责任</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rPr>
        <w:t>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；造成严重社会影响或累计被通报或被曝光 3 次以上（含本数）的，发包人有权解除合同，将本工程另行发包，并不免除承包人应承担的违约赔偿责任</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以现金转账方式由承包人从本单位基本帐户缴纳至招标人指定帐户</w:t>
      </w:r>
      <w:r>
        <w:rPr>
          <w:rFonts w:asciiTheme="minorEastAsia" w:hAnsiTheme="minorEastAsia" w:eastAsiaTheme="minorEastAsia"/>
          <w:bCs/>
          <w:sz w:val="24"/>
          <w:szCs w:val="24"/>
          <w:u w:val="single"/>
        </w:rPr>
        <w:t>。</w:t>
      </w:r>
    </w:p>
    <w:p>
      <w:pPr>
        <w:numPr>
          <w:ilvl w:val="0"/>
          <w:numId w:val="16"/>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承包人在发包人、总监理工程师进行的日常质量安全检查中，被发现存在安全隐患的，承包人应限期改正。若同样问题被发现 2 次的或累计类似问题被发现 3 次，承包人必须承担一般违约责任1 次</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；此类问题的认定，以发包人、总监理工程师书面通知、指令、通报和会议纪要为准。</w:t>
      </w:r>
    </w:p>
    <w:p>
      <w:pPr>
        <w:numPr>
          <w:ilvl w:val="0"/>
          <w:numId w:val="16"/>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承包人因自身原因造成的重大安全事故（含工程质量事故）的，除按国家规定由</w:t>
      </w:r>
      <w:r>
        <w:rPr>
          <w:rFonts w:hint="eastAsia" w:asciiTheme="minorEastAsia" w:hAnsiTheme="minorEastAsia" w:eastAsiaTheme="minorEastAsia"/>
          <w:bCs/>
          <w:sz w:val="24"/>
          <w:szCs w:val="24"/>
          <w:u w:val="single"/>
          <w:lang w:eastAsia="zh-CN"/>
        </w:rPr>
        <w:t>行政管理部门</w:t>
      </w:r>
      <w:r>
        <w:rPr>
          <w:rFonts w:asciiTheme="minorEastAsia" w:hAnsiTheme="minorEastAsia" w:eastAsiaTheme="minorEastAsia"/>
          <w:bCs/>
          <w:sz w:val="24"/>
          <w:szCs w:val="24"/>
          <w:u w:val="single"/>
        </w:rPr>
        <w:t>处罚外，发包人视情况严重性，有权对承包人作出限期改正至严重违约的处罚，并有权部分或全部解除合同。承包人依照约定支付违约金后，所支付的违约金不足以弥补发包人损失的，承包人必须据实赔偿。</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文明施工、环境保护方面的违约责任</w:t>
      </w:r>
    </w:p>
    <w:p>
      <w:pPr>
        <w:numPr>
          <w:ilvl w:val="0"/>
          <w:numId w:val="1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发包人、总监理工程师按照相关的要求和投标文件及承诺的约定，对承包人文明施工措施进行对照检查。经检查发现承包人因自身原因未能落实的，承包人必须承担一般违约责任</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，并限期改正；如不限期改正，承包人须承担严重违约责任</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rPr>
        <w:t>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w:t>
      </w:r>
    </w:p>
    <w:p>
      <w:pPr>
        <w:numPr>
          <w:ilvl w:val="0"/>
          <w:numId w:val="1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在政府行政主管部门的检查中，承包人的施工场地被评为不合格工地的，或者被通报批评的，或者被新闻媒体曝光的，承包人必须承担严重违约责任</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，并立即采取切实有效措施予以整改；拒不采取切实有效的措施整改的，或整改效果不明显的，发包人有权解除合同，并要求承包人赔偿由此造成的损失</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承包人应承担的违约赔偿责任</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rPr>
        <w:t>元）以现金转账方式由承包人从本单位基本帐户缴纳至招标人指定帐户</w:t>
      </w:r>
      <w:r>
        <w:rPr>
          <w:rFonts w:asciiTheme="minorEastAsia" w:hAnsiTheme="minorEastAsia" w:eastAsiaTheme="minorEastAsia"/>
          <w:bCs/>
          <w:sz w:val="24"/>
          <w:szCs w:val="24"/>
          <w:u w:val="single"/>
        </w:rPr>
        <w:t>。</w:t>
      </w:r>
    </w:p>
    <w:p>
      <w:pPr>
        <w:numPr>
          <w:ilvl w:val="0"/>
          <w:numId w:val="1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在施工过程中因其自身原因造成周围环境卫生状况较差，被其他施工单位或周围居民投诉的，承包人必须在当天内整改。若故意拖延或同样问题被投诉2次，或累计被投诉3次，经查实，承包人必须承担一般违约责任 1 次</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工程分包、转包方面的违约责任承包人擅自分包或者转包工程的，发包人有权单方部分解除合同或全部解除合同，由此而造成的经济损失由承包人负责赔偿。由于承包人管理督促不力或漠视不理，以致分包单位未能及时整治或不进行整治而造成的一切损失，由承包人承担。</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人员和设备投入不到位的违约责任详见投标人须知前附表。</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民工工资支付方面的违约责任</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承包人违反本合同关于民工工资支付的规定，被民工投诉属实的，承包人必须在 3 天内予以发放拖欠的款项。若继续拖延被投诉 2 次及以上，经查实，承包人必须承担一般违约责任 1 次</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 xml:space="preserve">  元/次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。若仍然不予整改并不发放拖欠的款项，使民工采取停工、集聚围阻发包人办公地点甚至政府办公部门等过激行动的，</w:t>
      </w:r>
      <w:r>
        <w:rPr>
          <w:rFonts w:hint="eastAsia" w:asciiTheme="minorEastAsia" w:hAnsiTheme="minorEastAsia" w:eastAsiaTheme="minorEastAsia"/>
          <w:bCs/>
          <w:sz w:val="24"/>
          <w:szCs w:val="24"/>
          <w:u w:val="single"/>
        </w:rPr>
        <w:t>上访至发包人的，</w:t>
      </w:r>
      <w:r>
        <w:rPr>
          <w:rFonts w:asciiTheme="minorEastAsia" w:hAnsiTheme="minorEastAsia" w:eastAsiaTheme="minorEastAsia"/>
          <w:bCs/>
          <w:sz w:val="24"/>
          <w:szCs w:val="24"/>
          <w:u w:val="single"/>
        </w:rPr>
        <w:t>承包人必须承担严重违约责任</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u w:val="single"/>
          <w:lang w:val="en-US"/>
        </w:rPr>
        <w:t>/次</w:t>
      </w:r>
      <w:r>
        <w:rPr>
          <w:rFonts w:hint="eastAsia" w:asciiTheme="minorEastAsia" w:hAnsiTheme="minorEastAsia" w:eastAsiaTheme="minorEastAsia"/>
          <w:bCs/>
          <w:sz w:val="24"/>
          <w:szCs w:val="24"/>
          <w:u w:val="single"/>
        </w:rPr>
        <w:t>）；上访至区建设局、区社保局、区政府的，</w:t>
      </w:r>
      <w:r>
        <w:rPr>
          <w:rFonts w:asciiTheme="minorEastAsia" w:hAnsiTheme="minorEastAsia" w:eastAsiaTheme="minorEastAsia"/>
          <w:bCs/>
          <w:sz w:val="24"/>
          <w:szCs w:val="24"/>
          <w:u w:val="single"/>
        </w:rPr>
        <w:t>承包人必须承担严重违约责任</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u w:val="single"/>
          <w:lang w:val="en-US"/>
        </w:rPr>
        <w:t>/次</w:t>
      </w:r>
      <w:r>
        <w:rPr>
          <w:rFonts w:hint="eastAsia" w:asciiTheme="minorEastAsia" w:hAnsiTheme="minorEastAsia" w:eastAsiaTheme="minorEastAsia"/>
          <w:bCs/>
          <w:sz w:val="24"/>
          <w:szCs w:val="24"/>
          <w:u w:val="single"/>
        </w:rPr>
        <w:t>）；上访至市建设局、市社保局、市政府的，</w:t>
      </w:r>
      <w:r>
        <w:rPr>
          <w:rFonts w:asciiTheme="minorEastAsia" w:hAnsiTheme="minorEastAsia" w:eastAsiaTheme="minorEastAsia"/>
          <w:bCs/>
          <w:sz w:val="24"/>
          <w:szCs w:val="24"/>
          <w:u w:val="single"/>
        </w:rPr>
        <w:t>承包人必须承担严重违约责任</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u w:val="single"/>
          <w:lang w:val="en-US"/>
        </w:rPr>
        <w:t>/次</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并立即采取切实有效措施予以整改；拒不采取切实有效的措施整改的，或整改效果不明显的，发包人有权解除合同，并要求承包人赔偿由此造成的损失</w:t>
      </w:r>
      <w:r>
        <w:rPr>
          <w:rFonts w:hint="eastAsia" w:asciiTheme="minorEastAsia" w:hAnsiTheme="minorEastAsia" w:eastAsiaTheme="minorEastAsia"/>
          <w:bCs/>
          <w:sz w:val="24"/>
          <w:szCs w:val="24"/>
          <w:u w:val="single"/>
        </w:rPr>
        <w:t>，</w:t>
      </w:r>
      <w:r>
        <w:rPr>
          <w:rFonts w:asciiTheme="minorEastAsia" w:hAnsiTheme="minorEastAsia" w:eastAsiaTheme="minorEastAsia"/>
          <w:bCs/>
          <w:sz w:val="24"/>
          <w:szCs w:val="24"/>
          <w:u w:val="single"/>
        </w:rPr>
        <w:t>承包人应承担的违约赔偿责任</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u w:val="single"/>
        </w:rPr>
        <w:t>）</w:t>
      </w:r>
      <w:r>
        <w:rPr>
          <w:rFonts w:hint="eastAsia" w:asciiTheme="minorEastAsia" w:hAnsiTheme="minorEastAsia" w:eastAsiaTheme="minorEastAsia"/>
          <w:bCs/>
          <w:sz w:val="24"/>
          <w:szCs w:val="24"/>
          <w:u w:val="single"/>
          <w:lang w:val="en-US"/>
        </w:rPr>
        <w:t>以现金转账方式由承包人从本单位基本帐户缴纳至招标人指定帐户</w:t>
      </w:r>
      <w:r>
        <w:rPr>
          <w:rFonts w:asciiTheme="minorEastAsia" w:hAnsiTheme="minorEastAsia" w:eastAsiaTheme="minorEastAsia"/>
          <w:bCs/>
          <w:sz w:val="24"/>
          <w:szCs w:val="24"/>
          <w:u w:val="single"/>
        </w:rPr>
        <w:t>。</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除上述约定之外，承包人有违反其他合同义务的，均构成违约，应当承担一般违约责任。</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承包人违约责任的承担方式和计算方法：</w:t>
      </w:r>
    </w:p>
    <w:p>
      <w:pPr>
        <w:numPr>
          <w:ilvl w:val="2"/>
          <w:numId w:val="7"/>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承包人承担违约责任形式包括但不限于：</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 xml:space="preserve">书面警告。承包人未履行或未按时履行或未按质履行义务及监理工程师或发包人（含主管人员）的指示时，监理工程师或发包人有权向承包人发出书面警告，每次书面警告，承包人应当支付违约金人民币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元给发包人。</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限期改正。监理工程师或发包人在日常工作检查中发现承包人有违约行为，有权向承包人发出违约通知，要求承包人必须在监理工程师或发包人限定的时间内履行义务。同时，承包人应当向发包人支付违约金人民币</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元。</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 xml:space="preserve">一般违约责任。承包人违反本合同的约定须承担一般违约责任时，必须主动向发包人交纳违约金人民币 </w:t>
      </w:r>
      <w:r>
        <w:rPr>
          <w:rFonts w:hint="eastAsia" w:asciiTheme="minorEastAsia" w:hAnsiTheme="minorEastAsia" w:eastAsiaTheme="minorEastAsia"/>
          <w:bCs/>
          <w:sz w:val="24"/>
          <w:szCs w:val="24"/>
          <w:u w:val="single"/>
        </w:rPr>
        <w:t xml:space="preserve">   元</w:t>
      </w:r>
      <w:r>
        <w:rPr>
          <w:rFonts w:asciiTheme="minorEastAsia" w:hAnsiTheme="minorEastAsia" w:eastAsiaTheme="minorEastAsia"/>
          <w:bCs/>
          <w:sz w:val="24"/>
          <w:szCs w:val="24"/>
          <w:u w:val="single"/>
        </w:rPr>
        <w:t>/次；若承包人再犯性质相同的违约行为，第2次</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元，2次以上（不含本数）</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元/次。</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u w:val="single"/>
        </w:rPr>
        <w:t>严重违约责任。承包人违反本合同的约定须承担严重违约责任时，必须向发包人交纳违约金人民币</w:t>
      </w:r>
      <w:r>
        <w:rPr>
          <w:rFonts w:hint="eastAsia" w:asciiTheme="minorEastAsia" w:hAnsiTheme="minorEastAsia" w:eastAsiaTheme="minorEastAsia"/>
          <w:bCs/>
          <w:sz w:val="24"/>
          <w:szCs w:val="24"/>
          <w:u w:val="single"/>
          <w:lang w:val="en-US"/>
        </w:rPr>
        <w:t xml:space="preserve">   </w:t>
      </w:r>
      <w:r>
        <w:rPr>
          <w:rFonts w:asciiTheme="minorEastAsia" w:hAnsiTheme="minorEastAsia" w:eastAsiaTheme="minorEastAsia"/>
          <w:bCs/>
          <w:sz w:val="24"/>
          <w:szCs w:val="24"/>
          <w:u w:val="single"/>
        </w:rPr>
        <w:t>元/次。</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部分解除合同。当承包人违反本合同的约定符合解除部分合同的条件时，发包人有权向承包人发出书面解除部分合同的通知，该通知在送达承包人时部分解除合同即生效。部分解除合同的法律后果依照附件四的相关约定执行。</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解除合同。当承包人违反本合同的约定符合解除全部合同的条件时，发包人有权向承包人发出书面解除全部合同的通知，该通知在送达承包人时解除合同即生效。</w:t>
      </w:r>
    </w:p>
    <w:p>
      <w:pPr>
        <w:numPr>
          <w:ilvl w:val="0"/>
          <w:numId w:val="18"/>
        </w:numPr>
        <w:adjustRightInd w:val="0"/>
        <w:snapToGrid w:val="0"/>
        <w:spacing w:line="360" w:lineRule="auto"/>
        <w:ind w:left="-4" w:leftChars="-65" w:hanging="139" w:hangingChars="58"/>
        <w:rPr>
          <w:rFonts w:asciiTheme="minorEastAsia" w:hAnsiTheme="minorEastAsia" w:eastAsiaTheme="minorEastAsia"/>
          <w:bCs/>
          <w:sz w:val="24"/>
          <w:szCs w:val="24"/>
          <w:u w:val="single"/>
        </w:rPr>
      </w:pPr>
      <w:r>
        <w:rPr>
          <w:rFonts w:asciiTheme="minorEastAsia" w:hAnsiTheme="minorEastAsia" w:eastAsiaTheme="minorEastAsia"/>
          <w:bCs/>
          <w:sz w:val="24"/>
          <w:szCs w:val="24"/>
          <w:u w:val="single"/>
        </w:rPr>
        <w:t>赔偿损失。因承包人原因造成发包人经济损失的，承包人应向发包人赔偿全部损失，包括直接损失和间接损失，但不超过承包方在订立合同时预见或应预见到的因违反合同可能造成的损失。</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12.1.12</w:t>
      </w:r>
      <w:r>
        <w:rPr>
          <w:rFonts w:hint="eastAsia" w:asciiTheme="minorEastAsia" w:hAnsiTheme="minorEastAsia" w:eastAsiaTheme="minorEastAsia"/>
          <w:bCs/>
          <w:sz w:val="24"/>
          <w:szCs w:val="24"/>
        </w:rPr>
        <w:t>项目负责人及项目管理机构违约责任</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（1）拟派的项目班子成员必须全部接受建筑施工现场广域网络考勤系统(“IFA”系统)考勤。</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（2）承包人派驻现场的项目负责人和项目技术负责人、安全生产负责人及项目管理机构主要管理人员须与投标承诺的人员相一致，不得擅自变更。除</w:t>
      </w:r>
      <w:r>
        <w:rPr>
          <w:rFonts w:hint="eastAsia" w:asciiTheme="minorEastAsia" w:hAnsiTheme="minorEastAsia" w:eastAsiaTheme="minorEastAsia"/>
          <w:bCs/>
          <w:sz w:val="24"/>
          <w:szCs w:val="24"/>
          <w:lang w:val="en-US"/>
        </w:rPr>
        <w:t>非为</w:t>
      </w:r>
      <w:r>
        <w:rPr>
          <w:rFonts w:hint="eastAsia" w:asciiTheme="minorEastAsia" w:hAnsiTheme="minorEastAsia" w:eastAsiaTheme="minorEastAsia"/>
          <w:bCs/>
          <w:sz w:val="24"/>
          <w:szCs w:val="24"/>
        </w:rPr>
        <w:t>刑事犯罪、伤病丧失履约能力等特殊原因确需更换的，因施工单位的原因，提出更换项目经理的，按</w:t>
      </w:r>
      <w:r>
        <w:rPr>
          <w:rFonts w:hint="eastAsia" w:asciiTheme="minorEastAsia" w:hAnsiTheme="minorEastAsia" w:eastAsiaTheme="minorEastAsia"/>
          <w:bCs/>
          <w:sz w:val="24"/>
          <w:szCs w:val="24"/>
          <w:lang w:val="en-US"/>
        </w:rPr>
        <w:t xml:space="preserve">  </w:t>
      </w:r>
      <w:r>
        <w:rPr>
          <w:rFonts w:hint="eastAsia" w:asciiTheme="minorEastAsia" w:hAnsiTheme="minorEastAsia" w:eastAsiaTheme="minorEastAsia"/>
          <w:bCs/>
          <w:sz w:val="24"/>
          <w:szCs w:val="24"/>
        </w:rPr>
        <w:t>元/人次</w:t>
      </w:r>
      <w:r>
        <w:rPr>
          <w:rFonts w:hint="eastAsia" w:asciiTheme="minorEastAsia" w:hAnsiTheme="minorEastAsia" w:eastAsiaTheme="minorEastAsia"/>
          <w:bCs/>
          <w:sz w:val="24"/>
          <w:szCs w:val="24"/>
          <w:lang w:val="en-US"/>
        </w:rPr>
        <w:t>缴纳</w:t>
      </w:r>
      <w:r>
        <w:rPr>
          <w:rFonts w:hint="eastAsia" w:asciiTheme="minorEastAsia" w:hAnsiTheme="minorEastAsia" w:eastAsiaTheme="minorEastAsia"/>
          <w:bCs/>
          <w:sz w:val="24"/>
          <w:szCs w:val="24"/>
        </w:rPr>
        <w:t>违约金，更换技术负责人的，按</w:t>
      </w:r>
      <w:r>
        <w:rPr>
          <w:rFonts w:hint="eastAsia" w:asciiTheme="minorEastAsia" w:hAnsiTheme="minorEastAsia" w:eastAsiaTheme="minorEastAsia"/>
          <w:bCs/>
          <w:sz w:val="24"/>
          <w:szCs w:val="24"/>
          <w:lang w:val="en-US"/>
        </w:rPr>
        <w:t xml:space="preserve">  </w:t>
      </w:r>
      <w:r>
        <w:rPr>
          <w:rFonts w:hint="eastAsia" w:asciiTheme="minorEastAsia" w:hAnsiTheme="minorEastAsia" w:eastAsiaTheme="minorEastAsia"/>
          <w:bCs/>
          <w:sz w:val="24"/>
          <w:szCs w:val="24"/>
        </w:rPr>
        <w:t>元/人次</w:t>
      </w:r>
      <w:r>
        <w:rPr>
          <w:rFonts w:hint="eastAsia" w:asciiTheme="minorEastAsia" w:hAnsiTheme="minorEastAsia" w:eastAsiaTheme="minorEastAsia"/>
          <w:bCs/>
          <w:sz w:val="24"/>
          <w:szCs w:val="24"/>
          <w:lang w:val="en-US"/>
        </w:rPr>
        <w:t>缴纳</w:t>
      </w:r>
      <w:r>
        <w:rPr>
          <w:rFonts w:hint="eastAsia" w:asciiTheme="minorEastAsia" w:hAnsiTheme="minorEastAsia" w:eastAsiaTheme="minorEastAsia"/>
          <w:bCs/>
          <w:sz w:val="24"/>
          <w:szCs w:val="24"/>
        </w:rPr>
        <w:t>违约金，更换其他专业人员的，按</w:t>
      </w:r>
      <w:r>
        <w:rPr>
          <w:rFonts w:hint="eastAsia" w:asciiTheme="minorEastAsia" w:hAnsiTheme="minorEastAsia" w:eastAsiaTheme="minorEastAsia"/>
          <w:bCs/>
          <w:sz w:val="24"/>
          <w:szCs w:val="24"/>
          <w:lang w:val="en-US"/>
        </w:rPr>
        <w:t xml:space="preserve">  </w:t>
      </w:r>
      <w:r>
        <w:rPr>
          <w:rFonts w:hint="eastAsia" w:asciiTheme="minorEastAsia" w:hAnsiTheme="minorEastAsia" w:eastAsiaTheme="minorEastAsia"/>
          <w:bCs/>
          <w:sz w:val="24"/>
          <w:szCs w:val="24"/>
        </w:rPr>
        <w:t>元/人次</w:t>
      </w:r>
      <w:r>
        <w:rPr>
          <w:rFonts w:hint="eastAsia" w:asciiTheme="minorEastAsia" w:hAnsiTheme="minorEastAsia" w:eastAsiaTheme="minorEastAsia"/>
          <w:bCs/>
          <w:sz w:val="24"/>
          <w:szCs w:val="24"/>
          <w:lang w:val="en-US"/>
        </w:rPr>
        <w:t>缴纳</w:t>
      </w:r>
      <w:r>
        <w:rPr>
          <w:rFonts w:hint="eastAsia" w:asciiTheme="minorEastAsia" w:hAnsiTheme="minorEastAsia" w:eastAsiaTheme="minorEastAsia"/>
          <w:bCs/>
          <w:sz w:val="24"/>
          <w:szCs w:val="24"/>
        </w:rPr>
        <w:t>违约金。</w:t>
      </w:r>
      <w:r>
        <w:rPr>
          <w:rFonts w:hint="eastAsia" w:asciiTheme="minorEastAsia" w:hAnsiTheme="minorEastAsia" w:eastAsiaTheme="minorEastAsia"/>
          <w:bCs/>
          <w:sz w:val="24"/>
          <w:szCs w:val="24"/>
          <w:lang w:val="en-US"/>
        </w:rPr>
        <w:t>并且更换人员不得超过总人数的三分之一。</w:t>
      </w:r>
      <w:r>
        <w:rPr>
          <w:rFonts w:hint="eastAsia" w:asciiTheme="minorEastAsia" w:hAnsiTheme="minorEastAsia" w:eastAsiaTheme="minorEastAsia"/>
          <w:bCs/>
          <w:sz w:val="24"/>
          <w:szCs w:val="24"/>
        </w:rPr>
        <w:t>上述原因引起的违约金以现金转账方式由承包人从本单位基本帐户缴纳至招标人指定帐户，不予返还。因施工单位提出更换的，所变更人员的资格、业绩和信誉不得低于中标条件且必须经建设、监理单位同意，并报市行业行政主管部门备案。</w:t>
      </w:r>
    </w:p>
    <w:p>
      <w:pPr>
        <w:adjustRightInd w:val="0"/>
        <w:snapToGrid w:val="0"/>
        <w:spacing w:line="360" w:lineRule="auto"/>
        <w:ind w:left="-4" w:leftChars="-65" w:hanging="139" w:hangingChars="58"/>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rPr>
        <w:t>项目负责人在工程未竣工验收前主动提出辞职的，自其辞职之日起不得在本区重点工程项目建设内以项目负责人的名义执业。</w:t>
      </w:r>
      <w:r>
        <w:rPr>
          <w:rFonts w:hint="eastAsia" w:asciiTheme="minorEastAsia" w:hAnsiTheme="minorEastAsia" w:eastAsiaTheme="minorEastAsia"/>
          <w:bCs/>
          <w:sz w:val="24"/>
          <w:szCs w:val="24"/>
          <w:lang w:val="en-US"/>
        </w:rPr>
        <w:t>同时</w:t>
      </w:r>
      <w:r>
        <w:rPr>
          <w:rFonts w:hint="eastAsia" w:asciiTheme="minorEastAsia" w:hAnsiTheme="minorEastAsia" w:eastAsiaTheme="minorEastAsia"/>
          <w:bCs/>
          <w:sz w:val="24"/>
          <w:szCs w:val="24"/>
        </w:rPr>
        <w:t>按</w:t>
      </w:r>
      <w:r>
        <w:rPr>
          <w:rFonts w:hint="eastAsia" w:asciiTheme="minorEastAsia" w:hAnsiTheme="minorEastAsia" w:eastAsiaTheme="minorEastAsia"/>
          <w:bCs/>
          <w:sz w:val="24"/>
          <w:szCs w:val="24"/>
          <w:lang w:val="en-US"/>
        </w:rPr>
        <w:t xml:space="preserve">  </w:t>
      </w:r>
      <w:r>
        <w:rPr>
          <w:rFonts w:hint="eastAsia" w:asciiTheme="minorEastAsia" w:hAnsiTheme="minorEastAsia" w:eastAsiaTheme="minorEastAsia"/>
          <w:bCs/>
          <w:sz w:val="24"/>
          <w:szCs w:val="24"/>
        </w:rPr>
        <w:t>元/人次</w:t>
      </w:r>
      <w:r>
        <w:rPr>
          <w:rFonts w:hint="eastAsia" w:asciiTheme="minorEastAsia" w:hAnsiTheme="minorEastAsia" w:eastAsiaTheme="minorEastAsia"/>
          <w:bCs/>
          <w:sz w:val="24"/>
          <w:szCs w:val="24"/>
          <w:lang w:val="en-US"/>
        </w:rPr>
        <w:t>缴纳</w:t>
      </w:r>
      <w:r>
        <w:rPr>
          <w:rFonts w:hint="eastAsia" w:asciiTheme="minorEastAsia" w:hAnsiTheme="minorEastAsia" w:eastAsiaTheme="minorEastAsia"/>
          <w:bCs/>
          <w:sz w:val="24"/>
          <w:szCs w:val="24"/>
        </w:rPr>
        <w:t>违约金</w:t>
      </w:r>
      <w:r>
        <w:rPr>
          <w:rFonts w:hint="eastAsia" w:asciiTheme="minorEastAsia" w:hAnsiTheme="minorEastAsia" w:eastAsiaTheme="minorEastAsia"/>
          <w:bCs/>
          <w:sz w:val="24"/>
          <w:szCs w:val="24"/>
          <w:lang w:val="en-US"/>
        </w:rPr>
        <w:t>，以现金转账方式由承包人从本单位基本帐户缴纳至招标人指定帐户。</w:t>
      </w:r>
    </w:p>
    <w:p>
      <w:pPr>
        <w:adjustRightInd w:val="0"/>
        <w:snapToGrid w:val="0"/>
        <w:spacing w:line="360" w:lineRule="auto"/>
        <w:ind w:left="-4" w:leftChars="-65" w:hanging="139" w:hangingChars="58"/>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rPr>
        <w:t>（3）项目负责人本人每周在现场工作时间不少于</w:t>
      </w:r>
      <w:r>
        <w:rPr>
          <w:rFonts w:hint="eastAsia" w:asciiTheme="minorEastAsia" w:hAnsiTheme="minorEastAsia" w:eastAsiaTheme="minorEastAsia"/>
          <w:bCs/>
          <w:sz w:val="24"/>
          <w:szCs w:val="24"/>
          <w:lang w:val="en-US"/>
        </w:rPr>
        <w:t>6</w:t>
      </w:r>
      <w:r>
        <w:rPr>
          <w:rFonts w:hint="eastAsia" w:asciiTheme="minorEastAsia" w:hAnsiTheme="minorEastAsia" w:eastAsiaTheme="minorEastAsia"/>
          <w:bCs/>
          <w:sz w:val="24"/>
          <w:szCs w:val="24"/>
        </w:rPr>
        <w:t>天，且每天在现场不少于</w:t>
      </w:r>
      <w:r>
        <w:rPr>
          <w:rFonts w:hint="eastAsia" w:asciiTheme="minorEastAsia" w:hAnsiTheme="minorEastAsia" w:eastAsiaTheme="minorEastAsia"/>
          <w:bCs/>
          <w:sz w:val="24"/>
          <w:szCs w:val="24"/>
          <w:lang w:val="en-US"/>
        </w:rPr>
        <w:t>10</w:t>
      </w:r>
      <w:r>
        <w:rPr>
          <w:rFonts w:hint="eastAsia" w:asciiTheme="minorEastAsia" w:hAnsiTheme="minorEastAsia" w:eastAsiaTheme="minorEastAsia"/>
          <w:bCs/>
          <w:sz w:val="24"/>
          <w:szCs w:val="24"/>
        </w:rPr>
        <w:t>小时。项目管理机构主要管理人员保证每月在施工现场不少于2</w:t>
      </w:r>
      <w:r>
        <w:rPr>
          <w:rFonts w:hint="eastAsia" w:asciiTheme="minorEastAsia" w:hAnsiTheme="minorEastAsia" w:eastAsiaTheme="minorEastAsia"/>
          <w:bCs/>
          <w:sz w:val="24"/>
          <w:szCs w:val="24"/>
          <w:lang w:val="en-US"/>
        </w:rPr>
        <w:t>5天</w:t>
      </w:r>
      <w:r>
        <w:rPr>
          <w:rFonts w:hint="eastAsia" w:asciiTheme="minorEastAsia" w:hAnsiTheme="minorEastAsia" w:eastAsiaTheme="minorEastAsia"/>
          <w:bCs/>
          <w:sz w:val="24"/>
          <w:szCs w:val="24"/>
        </w:rPr>
        <w:t>。（实际到场工作的标准为在工程施工期间，按每月在施工现场不少于2</w:t>
      </w:r>
      <w:r>
        <w:rPr>
          <w:rFonts w:hint="eastAsia" w:asciiTheme="minorEastAsia" w:hAnsiTheme="minorEastAsia" w:eastAsiaTheme="minorEastAsia"/>
          <w:bCs/>
          <w:sz w:val="24"/>
          <w:szCs w:val="24"/>
          <w:lang w:val="en-US"/>
        </w:rPr>
        <w:t>5天</w:t>
      </w:r>
      <w:r>
        <w:rPr>
          <w:rFonts w:hint="eastAsia" w:asciiTheme="minorEastAsia" w:hAnsiTheme="minorEastAsia" w:eastAsiaTheme="minorEastAsia"/>
          <w:bCs/>
          <w:sz w:val="24"/>
          <w:szCs w:val="24"/>
        </w:rPr>
        <w:t>和每日</w:t>
      </w:r>
      <w:r>
        <w:rPr>
          <w:rFonts w:hint="eastAsia" w:asciiTheme="minorEastAsia" w:hAnsiTheme="minorEastAsia" w:eastAsiaTheme="minorEastAsia"/>
          <w:bCs/>
          <w:sz w:val="24"/>
          <w:szCs w:val="24"/>
          <w:lang w:val="en-US"/>
        </w:rPr>
        <w:t>10</w:t>
      </w:r>
      <w:r>
        <w:rPr>
          <w:rFonts w:hint="eastAsia" w:asciiTheme="minorEastAsia" w:hAnsiTheme="minorEastAsia" w:eastAsiaTheme="minorEastAsia"/>
          <w:bCs/>
          <w:sz w:val="24"/>
          <w:szCs w:val="24"/>
        </w:rPr>
        <w:t>小时工作时间计，其中在工地现场工作的工时数不少于</w:t>
      </w:r>
      <w:r>
        <w:rPr>
          <w:rFonts w:hint="eastAsia" w:asciiTheme="minorEastAsia" w:hAnsiTheme="minorEastAsia" w:eastAsiaTheme="minorEastAsia"/>
          <w:bCs/>
          <w:sz w:val="24"/>
          <w:szCs w:val="24"/>
          <w:lang w:val="en-US"/>
        </w:rPr>
        <w:t>85</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rPr>
        <w:t>不按此规定的按每人  元/天的违约金支付，以现金转账方式由承包人从本单位基本帐户缴纳至招标人指定帐户。</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（4）项目负责人、技术负责人外出2天以上需向监理、发包人报告。</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rPr>
        <w:t>（5） 监理单位对承包人</w:t>
      </w:r>
      <w:r>
        <w:rPr>
          <w:rFonts w:asciiTheme="minorEastAsia" w:hAnsiTheme="minorEastAsia" w:eastAsiaTheme="minorEastAsia"/>
          <w:bCs/>
          <w:sz w:val="24"/>
          <w:szCs w:val="24"/>
        </w:rPr>
        <w:t>项目经理、技术负责人、施工员、质量员、安全员的在岗情况</w:t>
      </w:r>
      <w:r>
        <w:rPr>
          <w:rFonts w:hint="eastAsia" w:asciiTheme="minorEastAsia" w:hAnsiTheme="minorEastAsia" w:eastAsiaTheme="minorEastAsia"/>
          <w:bCs/>
          <w:sz w:val="24"/>
          <w:szCs w:val="24"/>
        </w:rPr>
        <w:t>，进行每天考勤，</w:t>
      </w:r>
      <w:r>
        <w:rPr>
          <w:rFonts w:asciiTheme="minorEastAsia" w:hAnsiTheme="minorEastAsia" w:eastAsiaTheme="minorEastAsia"/>
          <w:bCs/>
          <w:sz w:val="24"/>
          <w:szCs w:val="24"/>
        </w:rPr>
        <w:t>发包人</w:t>
      </w:r>
      <w:r>
        <w:rPr>
          <w:rFonts w:hint="eastAsia" w:asciiTheme="minorEastAsia" w:hAnsiTheme="minorEastAsia" w:eastAsiaTheme="minorEastAsia"/>
          <w:bCs/>
          <w:sz w:val="24"/>
          <w:szCs w:val="24"/>
        </w:rPr>
        <w:t>甲方代表</w:t>
      </w:r>
      <w:r>
        <w:rPr>
          <w:rFonts w:asciiTheme="minorEastAsia" w:hAnsiTheme="minorEastAsia" w:eastAsiaTheme="minorEastAsia"/>
          <w:bCs/>
          <w:sz w:val="24"/>
          <w:szCs w:val="24"/>
        </w:rPr>
        <w:t>对承包人项目经理、技术负责人、施工员、质量员、安全员的在岗情况，进行</w:t>
      </w:r>
      <w:r>
        <w:rPr>
          <w:rFonts w:hint="eastAsia" w:asciiTheme="minorEastAsia" w:hAnsiTheme="minorEastAsia" w:eastAsiaTheme="minorEastAsia"/>
          <w:bCs/>
          <w:sz w:val="24"/>
          <w:szCs w:val="24"/>
        </w:rPr>
        <w:t>每周不低于三次的考勤</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监理单位及甲方代表在考勤巡查中发现承包人</w:t>
      </w:r>
      <w:r>
        <w:rPr>
          <w:rFonts w:asciiTheme="minorEastAsia" w:hAnsiTheme="minorEastAsia" w:eastAsiaTheme="minorEastAsia"/>
          <w:bCs/>
          <w:sz w:val="24"/>
          <w:szCs w:val="24"/>
        </w:rPr>
        <w:t>项目经理、技术负责人、施工员、质量员、安全员有一次不在岗行为的，提出警告；有两次不在岗行为的，通报批评，视为违约并由承包人向发包人支付每人次</w:t>
      </w:r>
      <w:r>
        <w:rPr>
          <w:rFonts w:hint="eastAsia" w:asciiTheme="minorEastAsia" w:hAnsiTheme="minorEastAsia" w:eastAsiaTheme="minorEastAsia"/>
          <w:bCs/>
          <w:sz w:val="24"/>
          <w:szCs w:val="24"/>
          <w:lang w:val="en-US"/>
        </w:rPr>
        <w:t xml:space="preserve">  </w:t>
      </w:r>
      <w:r>
        <w:rPr>
          <w:rFonts w:asciiTheme="minorEastAsia" w:hAnsiTheme="minorEastAsia" w:eastAsiaTheme="minorEastAsia"/>
          <w:bCs/>
          <w:sz w:val="24"/>
          <w:szCs w:val="24"/>
        </w:rPr>
        <w:t>元违约金；有三次不在岗行为的，发包人将报建设行政主管部门予以处理，并由承包人向发包人支付每人次</w:t>
      </w:r>
      <w:r>
        <w:rPr>
          <w:rFonts w:hint="eastAsia" w:asciiTheme="minorEastAsia" w:hAnsiTheme="minorEastAsia" w:eastAsiaTheme="minorEastAsia"/>
          <w:bCs/>
          <w:sz w:val="24"/>
          <w:szCs w:val="24"/>
          <w:lang w:val="en-US"/>
        </w:rPr>
        <w:t xml:space="preserve">  </w:t>
      </w:r>
      <w:r>
        <w:rPr>
          <w:rFonts w:asciiTheme="minorEastAsia" w:hAnsiTheme="minorEastAsia" w:eastAsiaTheme="minorEastAsia"/>
          <w:bCs/>
          <w:sz w:val="24"/>
          <w:szCs w:val="24"/>
        </w:rPr>
        <w:t>元违约金；有四次不在岗行为的，发包人有权责成承包人进行项目经理、技术负责人、施工员、质量员、安全员更换，并按照更换人次</w:t>
      </w:r>
      <w:r>
        <w:rPr>
          <w:rFonts w:hint="eastAsia" w:asciiTheme="minorEastAsia" w:hAnsiTheme="minorEastAsia" w:eastAsiaTheme="minorEastAsia"/>
          <w:bCs/>
          <w:sz w:val="24"/>
          <w:szCs w:val="24"/>
          <w:lang w:val="en-US"/>
        </w:rPr>
        <w:t>依据12.1.12</w:t>
      </w:r>
      <w:r>
        <w:rPr>
          <w:rFonts w:hint="eastAsia" w:asciiTheme="minorEastAsia" w:hAnsiTheme="minorEastAsia" w:eastAsiaTheme="minorEastAsia"/>
          <w:bCs/>
          <w:sz w:val="24"/>
          <w:szCs w:val="24"/>
        </w:rPr>
        <w:t>（2）执行</w:t>
      </w:r>
      <w:r>
        <w:rPr>
          <w:rFonts w:asciiTheme="minorEastAsia" w:hAnsiTheme="minorEastAsia" w:eastAsiaTheme="minorEastAsia"/>
          <w:bCs/>
          <w:sz w:val="24"/>
          <w:szCs w:val="24"/>
        </w:rPr>
        <w:t>，严重</w:t>
      </w:r>
      <w:r>
        <w:rPr>
          <w:rFonts w:hint="eastAsia" w:asciiTheme="minorEastAsia" w:hAnsiTheme="minorEastAsia" w:eastAsiaTheme="minorEastAsia"/>
          <w:bCs/>
          <w:sz w:val="24"/>
          <w:szCs w:val="24"/>
        </w:rPr>
        <w:t>者招标人</w:t>
      </w:r>
      <w:r>
        <w:rPr>
          <w:rFonts w:asciiTheme="minorEastAsia" w:hAnsiTheme="minorEastAsia" w:eastAsiaTheme="minorEastAsia"/>
          <w:bCs/>
          <w:sz w:val="24"/>
          <w:szCs w:val="24"/>
        </w:rPr>
        <w:t>有权责成其限期清场退出施工现场、解除合同，经济责任及其他责任均由承包人承担。</w:t>
      </w:r>
    </w:p>
    <w:p>
      <w:pPr>
        <w:adjustRightInd w:val="0"/>
        <w:snapToGrid w:val="0"/>
        <w:spacing w:line="360" w:lineRule="auto"/>
        <w:ind w:left="-4" w:leftChars="-65" w:hanging="139" w:hangingChars="58"/>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rPr>
        <w:t>6</w:t>
      </w:r>
      <w:r>
        <w:rPr>
          <w:rFonts w:hint="eastAsia" w:asciiTheme="minorEastAsia" w:hAnsiTheme="minorEastAsia" w:eastAsiaTheme="minorEastAsia"/>
          <w:bCs/>
          <w:sz w:val="24"/>
          <w:szCs w:val="24"/>
        </w:rPr>
        <w:t>）</w:t>
      </w:r>
      <w:r>
        <w:rPr>
          <w:rFonts w:hint="eastAsia" w:asciiTheme="minorEastAsia" w:hAnsiTheme="minorEastAsia" w:eastAsiaTheme="minorEastAsia"/>
          <w:bCs/>
          <w:sz w:val="24"/>
          <w:szCs w:val="24"/>
          <w:lang w:val="en-US"/>
        </w:rPr>
        <w:t>主要设计人员在项目必要时候常驻现场，如因现场需要设计方应组织设计师在提出问题</w:t>
      </w:r>
      <w:r>
        <w:rPr>
          <w:rFonts w:asciiTheme="minorEastAsia" w:hAnsiTheme="minorEastAsia" w:eastAsiaTheme="minorEastAsia"/>
          <w:bCs/>
          <w:sz w:val="24"/>
          <w:szCs w:val="24"/>
          <w:lang w:val="en-US"/>
        </w:rPr>
        <w:t xml:space="preserve"> 48 小时内赴现场配合甲方</w:t>
      </w:r>
      <w:r>
        <w:rPr>
          <w:rFonts w:hint="eastAsia" w:asciiTheme="minorEastAsia" w:hAnsiTheme="minorEastAsia" w:eastAsiaTheme="minorEastAsia"/>
          <w:bCs/>
          <w:sz w:val="24"/>
          <w:szCs w:val="24"/>
          <w:lang w:val="en-US"/>
        </w:rPr>
        <w:t>。</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hint="eastAsia" w:asciiTheme="minorEastAsia" w:hAnsiTheme="minorEastAsia" w:eastAsiaTheme="minorEastAsia"/>
          <w:bCs/>
          <w:sz w:val="24"/>
          <w:szCs w:val="24"/>
          <w:u w:val="single"/>
          <w:lang w:val="en-US"/>
        </w:rPr>
        <w:t>12.1.13</w:t>
      </w:r>
      <w:r>
        <w:rPr>
          <w:rFonts w:asciiTheme="minorEastAsia" w:hAnsiTheme="minorEastAsia" w:eastAsiaTheme="minorEastAsia"/>
          <w:bCs/>
          <w:sz w:val="24"/>
          <w:szCs w:val="24"/>
          <w:u w:val="single"/>
        </w:rPr>
        <w:t>三次限期改正责任相当于一次一般违约责任；三次一般违约责任相当于一次严重违约责任。</w:t>
      </w:r>
    </w:p>
    <w:p>
      <w:pPr>
        <w:adjustRightInd w:val="0"/>
        <w:snapToGrid w:val="0"/>
        <w:spacing w:line="360" w:lineRule="auto"/>
        <w:ind w:left="-4" w:leftChars="-65" w:hanging="139" w:hangingChars="58"/>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u w:val="single"/>
          <w:lang w:val="en-US"/>
        </w:rPr>
        <w:t>12.1.14</w:t>
      </w:r>
      <w:r>
        <w:rPr>
          <w:rFonts w:asciiTheme="minorEastAsia" w:hAnsiTheme="minorEastAsia" w:eastAsiaTheme="minorEastAsia"/>
          <w:bCs/>
          <w:sz w:val="24"/>
          <w:szCs w:val="24"/>
          <w:u w:val="single"/>
        </w:rPr>
        <w:t>根据本条款各项的规定，承包人违约须向发包人支付违约金或赔偿金时，</w:t>
      </w:r>
      <w:r>
        <w:rPr>
          <w:rFonts w:hint="eastAsia" w:asciiTheme="minorEastAsia" w:hAnsiTheme="minorEastAsia" w:eastAsiaTheme="minorEastAsia"/>
          <w:bCs/>
          <w:sz w:val="24"/>
          <w:szCs w:val="24"/>
          <w:lang w:val="en-US"/>
        </w:rPr>
        <w:t>均以现金转账方式由承包人从本单位基本帐户缴纳至招标人指定帐户。</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hint="eastAsia" w:asciiTheme="minorEastAsia" w:hAnsiTheme="minorEastAsia" w:eastAsiaTheme="minorEastAsia"/>
          <w:bCs/>
          <w:sz w:val="24"/>
          <w:szCs w:val="24"/>
          <w:u w:val="single"/>
          <w:lang w:val="en-US"/>
        </w:rPr>
        <w:t xml:space="preserve"> 12.1.15 主要施工机械、设备 </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hint="eastAsia" w:asciiTheme="minorEastAsia" w:hAnsiTheme="minorEastAsia" w:eastAsiaTheme="minorEastAsia"/>
          <w:bCs/>
          <w:sz w:val="24"/>
          <w:szCs w:val="24"/>
          <w:u w:val="single"/>
          <w:lang w:val="en-US"/>
        </w:rPr>
        <w:t>（1）承包人保证投标施工组织设计中承诺的满足工程质量、施工工期要求的施工机械设备到位。如若不按要求到位即视为违约，承包人向发包人支付  元的违约金（</w:t>
      </w:r>
      <w:r>
        <w:rPr>
          <w:rFonts w:hint="eastAsia" w:asciiTheme="minorEastAsia" w:hAnsiTheme="minorEastAsia" w:eastAsiaTheme="minorEastAsia"/>
          <w:bCs/>
          <w:sz w:val="24"/>
          <w:szCs w:val="24"/>
          <w:lang w:val="en-US"/>
        </w:rPr>
        <w:t xml:space="preserve">以现金转账方式由承包人从本单位基本帐户缴纳至招标人指定帐户。）同时限期（2日内）到位，否则从第三天开始按  </w:t>
      </w:r>
      <w:r>
        <w:rPr>
          <w:rFonts w:hint="eastAsia" w:asciiTheme="minorEastAsia" w:hAnsiTheme="minorEastAsia" w:eastAsiaTheme="minorEastAsia"/>
          <w:bCs/>
          <w:sz w:val="24"/>
          <w:szCs w:val="24"/>
          <w:u w:val="single"/>
          <w:lang w:val="en-US"/>
        </w:rPr>
        <w:t>元</w:t>
      </w:r>
      <w:r>
        <w:rPr>
          <w:rFonts w:hint="eastAsia" w:asciiTheme="minorEastAsia" w:hAnsiTheme="minorEastAsia" w:eastAsiaTheme="minorEastAsia"/>
          <w:bCs/>
          <w:sz w:val="24"/>
          <w:szCs w:val="24"/>
          <w:lang w:val="en-US"/>
        </w:rPr>
        <w:t>/天</w:t>
      </w:r>
      <w:r>
        <w:rPr>
          <w:rFonts w:hint="eastAsia" w:asciiTheme="minorEastAsia" w:hAnsiTheme="minorEastAsia" w:eastAsiaTheme="minorEastAsia"/>
          <w:bCs/>
          <w:sz w:val="24"/>
          <w:szCs w:val="24"/>
          <w:u w:val="single"/>
          <w:lang w:val="en-US"/>
        </w:rPr>
        <w:t>缴纳违约金（</w:t>
      </w:r>
      <w:r>
        <w:rPr>
          <w:rFonts w:hint="eastAsia" w:asciiTheme="minorEastAsia" w:hAnsiTheme="minorEastAsia" w:eastAsiaTheme="minorEastAsia"/>
          <w:bCs/>
          <w:sz w:val="24"/>
          <w:szCs w:val="24"/>
          <w:lang w:val="en-US"/>
        </w:rPr>
        <w:t>以现金转账方式由承包人从本单位基本帐户缴纳至招标人指定帐户。）</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hint="eastAsia" w:asciiTheme="minorEastAsia" w:hAnsiTheme="minorEastAsia" w:eastAsiaTheme="minorEastAsia"/>
          <w:bCs/>
          <w:sz w:val="24"/>
          <w:szCs w:val="24"/>
          <w:u w:val="single"/>
          <w:lang w:val="en-US"/>
        </w:rPr>
        <w:t xml:space="preserve">（2）经监理人、发包人同意后，承包人可根据分部、分项工程施工的需要分批逐步到位机械设备，但发包人可以根据工程建设进度等实际需要，要求承包人增加机械设备，承包人不得因机械设备增加提出相关费用增加。 </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hint="eastAsia" w:asciiTheme="minorEastAsia" w:hAnsiTheme="minorEastAsia" w:eastAsiaTheme="minorEastAsia"/>
          <w:bCs/>
          <w:sz w:val="24"/>
          <w:szCs w:val="24"/>
          <w:u w:val="single"/>
          <w:lang w:val="en-US"/>
        </w:rPr>
        <w:t xml:space="preserve">（3）但由于承包人自身原因造成机械设备未能及时到位而严重影响工程施工的，在发包人提出确切要求到位日期后，仍耽误三天者视为违约，承包人向发包人支付  元违约金（以现金转账方式由承包人从本单位基本帐户缴纳至招标人指定帐户。）；耽误五天者，发包人有权按约责成其限期清场退出施工现场，责任由承包人承担。 </w:t>
      </w:r>
    </w:p>
    <w:p>
      <w:pPr>
        <w:adjustRightInd w:val="0"/>
        <w:snapToGrid w:val="0"/>
        <w:spacing w:line="360" w:lineRule="auto"/>
        <w:ind w:left="-4" w:leftChars="-65" w:hanging="139" w:hangingChars="58"/>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 xml:space="preserve">12.1.16 </w:t>
      </w:r>
      <w:r>
        <w:rPr>
          <w:rFonts w:asciiTheme="minorEastAsia" w:hAnsiTheme="minorEastAsia" w:eastAsiaTheme="minorEastAsia"/>
          <w:bCs/>
          <w:sz w:val="24"/>
          <w:szCs w:val="24"/>
          <w:lang w:val="en-US"/>
        </w:rPr>
        <w:t xml:space="preserve">工程进度控制 </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asciiTheme="minorEastAsia" w:hAnsiTheme="minorEastAsia" w:eastAsiaTheme="minorEastAsia"/>
          <w:bCs/>
          <w:sz w:val="24"/>
          <w:szCs w:val="24"/>
          <w:u w:val="single"/>
          <w:lang w:val="en-US"/>
        </w:rPr>
        <w:t xml:space="preserve">承包人应落实经监理人审批、发包人同意后的施工组织设计中保证工程质量、安全生产、文明施工、施工工期的措施和制度，并根据工程实施情况及时予以补充、完善，严格按照施工图及设计文件要求进行施工。 </w:t>
      </w:r>
    </w:p>
    <w:p>
      <w:pPr>
        <w:adjustRightInd w:val="0"/>
        <w:snapToGrid w:val="0"/>
        <w:spacing w:line="360" w:lineRule="auto"/>
        <w:ind w:left="-4" w:leftChars="-65" w:hanging="139" w:hangingChars="58"/>
        <w:rPr>
          <w:rFonts w:asciiTheme="minorEastAsia" w:hAnsiTheme="minorEastAsia" w:eastAsiaTheme="minorEastAsia"/>
          <w:bCs/>
          <w:sz w:val="24"/>
          <w:szCs w:val="24"/>
          <w:u w:val="single"/>
          <w:lang w:val="en-US"/>
        </w:rPr>
      </w:pPr>
      <w:r>
        <w:rPr>
          <w:rFonts w:asciiTheme="minorEastAsia" w:hAnsiTheme="minorEastAsia" w:eastAsiaTheme="minorEastAsia"/>
          <w:bCs/>
          <w:sz w:val="24"/>
          <w:szCs w:val="24"/>
          <w:u w:val="single"/>
          <w:lang w:val="en-US"/>
        </w:rPr>
        <w:t>乙方每月 25 日前将下月的施工进度计划报总监理工程师审批后报发包人作为对当月的进度考核依据。如承包人自身原因不能</w:t>
      </w:r>
      <w:r>
        <w:rPr>
          <w:rFonts w:hint="eastAsia" w:asciiTheme="minorEastAsia" w:hAnsiTheme="minorEastAsia" w:eastAsiaTheme="minorEastAsia"/>
          <w:bCs/>
          <w:sz w:val="24"/>
          <w:szCs w:val="24"/>
          <w:u w:val="single"/>
          <w:lang w:val="en-US"/>
        </w:rPr>
        <w:t>在当月</w:t>
      </w:r>
      <w:r>
        <w:rPr>
          <w:rFonts w:asciiTheme="minorEastAsia" w:hAnsiTheme="minorEastAsia" w:eastAsiaTheme="minorEastAsia"/>
          <w:bCs/>
          <w:sz w:val="24"/>
          <w:szCs w:val="24"/>
          <w:u w:val="single"/>
          <w:lang w:val="en-US"/>
        </w:rPr>
        <w:t>25</w:t>
      </w:r>
      <w:r>
        <w:rPr>
          <w:rFonts w:hint="eastAsia" w:asciiTheme="minorEastAsia" w:hAnsiTheme="minorEastAsia" w:eastAsiaTheme="minorEastAsia"/>
          <w:bCs/>
          <w:sz w:val="24"/>
          <w:szCs w:val="24"/>
          <w:u w:val="single"/>
          <w:lang w:val="en-US"/>
        </w:rPr>
        <w:t>日将下月的施工进度计划上报的，按</w:t>
      </w:r>
      <w:r>
        <w:rPr>
          <w:rFonts w:asciiTheme="minorEastAsia" w:hAnsiTheme="minorEastAsia" w:eastAsiaTheme="minorEastAsia"/>
          <w:bCs/>
          <w:sz w:val="24"/>
          <w:szCs w:val="24"/>
          <w:u w:val="single"/>
          <w:lang w:val="en-US"/>
        </w:rPr>
        <w:t>50万元/</w:t>
      </w:r>
      <w:r>
        <w:rPr>
          <w:rFonts w:hint="eastAsia" w:asciiTheme="minorEastAsia" w:hAnsiTheme="minorEastAsia" w:eastAsiaTheme="minorEastAsia"/>
          <w:bCs/>
          <w:sz w:val="24"/>
          <w:szCs w:val="24"/>
          <w:u w:val="single"/>
          <w:lang w:val="en-US"/>
        </w:rPr>
        <w:t>月</w:t>
      </w:r>
      <w:r>
        <w:rPr>
          <w:rFonts w:asciiTheme="minorEastAsia" w:hAnsiTheme="minorEastAsia" w:eastAsiaTheme="minorEastAsia"/>
          <w:bCs/>
          <w:sz w:val="24"/>
          <w:szCs w:val="24"/>
          <w:u w:val="single"/>
          <w:lang w:val="en-US"/>
        </w:rPr>
        <w:t>缴纳违约金。如承包人自身原因不能按计划完成当月进度，承包人每月向发包人支付</w:t>
      </w:r>
      <w:r>
        <w:rPr>
          <w:rFonts w:hint="eastAsia" w:asciiTheme="minorEastAsia" w:hAnsiTheme="minorEastAsia" w:eastAsiaTheme="minorEastAsia"/>
          <w:bCs/>
          <w:sz w:val="24"/>
          <w:szCs w:val="24"/>
          <w:u w:val="single"/>
          <w:lang w:val="en-US"/>
        </w:rPr>
        <w:t xml:space="preserve">  </w:t>
      </w:r>
      <w:r>
        <w:rPr>
          <w:rFonts w:asciiTheme="minorEastAsia" w:hAnsiTheme="minorEastAsia" w:eastAsiaTheme="minorEastAsia"/>
          <w:bCs/>
          <w:sz w:val="24"/>
          <w:szCs w:val="24"/>
          <w:u w:val="single"/>
          <w:lang w:val="en-US"/>
        </w:rPr>
        <w:t xml:space="preserve">元违约金。 </w:t>
      </w:r>
      <w:r>
        <w:rPr>
          <w:rFonts w:hint="eastAsia" w:asciiTheme="minorEastAsia" w:hAnsiTheme="minorEastAsia" w:eastAsiaTheme="minorEastAsia"/>
          <w:bCs/>
          <w:sz w:val="24"/>
          <w:szCs w:val="24"/>
          <w:u w:val="single"/>
          <w:lang w:val="en-US"/>
        </w:rPr>
        <w:t>并且工程每延误一天支付  元违约金，如延期7日以上发包人有权解除合同。</w:t>
      </w:r>
    </w:p>
    <w:p>
      <w:pPr>
        <w:adjustRightInd w:val="0"/>
        <w:snapToGrid w:val="0"/>
        <w:spacing w:line="360" w:lineRule="auto"/>
        <w:ind w:left="-4" w:leftChars="-65" w:hanging="139" w:hangingChars="58"/>
        <w:rPr>
          <w:rFonts w:asciiTheme="minorEastAsia" w:hAnsiTheme="minorEastAsia" w:eastAsiaTheme="minorEastAsia"/>
          <w:bCs/>
          <w:sz w:val="24"/>
          <w:szCs w:val="24"/>
        </w:rPr>
      </w:pPr>
      <w:bookmarkStart w:id="1428" w:name="13__争议解决"/>
      <w:bookmarkEnd w:id="1428"/>
      <w:r>
        <w:rPr>
          <w:rFonts w:hint="eastAsia" w:asciiTheme="minorEastAsia" w:hAnsiTheme="minorEastAsia" w:eastAsiaTheme="minorEastAsia"/>
          <w:bCs/>
          <w:sz w:val="24"/>
          <w:szCs w:val="24"/>
        </w:rPr>
        <w:t>13</w:t>
      </w:r>
      <w:r>
        <w:rPr>
          <w:rFonts w:hint="eastAsia" w:asciiTheme="minorEastAsia" w:hAnsiTheme="minorEastAsia" w:eastAsiaTheme="minorEastAsia"/>
          <w:bCs/>
          <w:sz w:val="24"/>
          <w:szCs w:val="24"/>
        </w:rPr>
        <w:tab/>
      </w:r>
      <w:r>
        <w:rPr>
          <w:rFonts w:hint="eastAsia" w:asciiTheme="minorEastAsia" w:hAnsiTheme="minorEastAsia" w:eastAsiaTheme="minorEastAsia"/>
          <w:bCs/>
          <w:sz w:val="24"/>
          <w:szCs w:val="24"/>
        </w:rPr>
        <w:t>争议解决</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因合同及合同有关事项发生的争议，按</w:t>
      </w:r>
      <w:r>
        <w:rPr>
          <w:rFonts w:hint="eastAsia" w:asciiTheme="minorEastAsia" w:hAnsiTheme="minorEastAsia" w:eastAsiaTheme="minorEastAsia"/>
          <w:bCs/>
          <w:sz w:val="24"/>
          <w:szCs w:val="24"/>
          <w:lang w:val="en-US"/>
        </w:rPr>
        <w:t>以下</w:t>
      </w:r>
      <w:r>
        <w:rPr>
          <w:rFonts w:asciiTheme="minorEastAsia" w:hAnsiTheme="minorEastAsia" w:eastAsiaTheme="minorEastAsia"/>
          <w:bCs/>
          <w:sz w:val="24"/>
          <w:szCs w:val="24"/>
        </w:rPr>
        <w:t>方式解决：</w:t>
      </w:r>
    </w:p>
    <w:p>
      <w:pPr>
        <w:adjustRightInd w:val="0"/>
        <w:snapToGrid w:val="0"/>
        <w:spacing w:line="360" w:lineRule="auto"/>
        <w:ind w:left="-4" w:leftChars="-65" w:hanging="139" w:hangingChars="58"/>
        <w:rPr>
          <w:rFonts w:asciiTheme="minorEastAsia" w:hAnsiTheme="minorEastAsia" w:eastAsiaTheme="minorEastAsia"/>
          <w:bCs/>
          <w:sz w:val="24"/>
          <w:szCs w:val="24"/>
        </w:rPr>
      </w:pPr>
      <w:r>
        <w:rPr>
          <w:rFonts w:asciiTheme="minorEastAsia" w:hAnsiTheme="minorEastAsia" w:eastAsiaTheme="minorEastAsia"/>
          <w:bCs/>
          <w:sz w:val="24"/>
          <w:szCs w:val="24"/>
        </w:rPr>
        <w:t>向</w:t>
      </w:r>
      <w:r>
        <w:rPr>
          <w:rFonts w:asciiTheme="minorEastAsia" w:hAnsiTheme="minorEastAsia" w:eastAsiaTheme="minorEastAsia"/>
          <w:bCs/>
          <w:sz w:val="24"/>
          <w:szCs w:val="24"/>
          <w:u w:val="single"/>
        </w:rPr>
        <w:tab/>
      </w:r>
      <w:r>
        <w:rPr>
          <w:rFonts w:hint="eastAsia" w:asciiTheme="minorEastAsia" w:hAnsiTheme="minorEastAsia" w:eastAsiaTheme="minorEastAsia"/>
          <w:bCs/>
          <w:sz w:val="24"/>
          <w:szCs w:val="24"/>
          <w:u w:val="single"/>
        </w:rPr>
        <w:t>项目所在地</w:t>
      </w:r>
      <w:r>
        <w:rPr>
          <w:rFonts w:asciiTheme="minorEastAsia" w:hAnsiTheme="minorEastAsia" w:eastAsiaTheme="minorEastAsia"/>
          <w:bCs/>
          <w:sz w:val="24"/>
          <w:szCs w:val="24"/>
        </w:rPr>
        <w:t>人民法院起诉。</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专用合同条件附件</w:t>
      </w:r>
      <w:bookmarkEnd w:id="1402"/>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附件1：发包人要求</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附件2：发包人供应材料设备一览表</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附件3：工程质量保修书</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附件4：主要建设工程文件目录</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附件5：承包人主要管理人员表</w:t>
      </w:r>
    </w:p>
    <w:p>
      <w:pPr>
        <w:adjustRightInd w:val="0"/>
        <w:snapToGrid w:val="0"/>
        <w:spacing w:line="360" w:lineRule="auto"/>
        <w:ind w:firstLine="6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附件6：价格指数权重表</w:t>
      </w:r>
    </w:p>
    <w:p>
      <w:pPr>
        <w:adjustRightInd w:val="0"/>
        <w:snapToGrid w:val="0"/>
        <w:spacing w:line="360" w:lineRule="auto"/>
        <w:rPr>
          <w:rFonts w:asciiTheme="minorEastAsia" w:hAnsiTheme="minorEastAsia" w:eastAsiaTheme="minorEastAsia" w:cstheme="minorEastAsia"/>
          <w:sz w:val="20"/>
          <w:szCs w:val="20"/>
        </w:rPr>
      </w:pPr>
    </w:p>
    <w:p>
      <w:pPr>
        <w:adjustRightInd w:val="0"/>
        <w:snapToGrid w:val="0"/>
        <w:spacing w:line="360" w:lineRule="auto"/>
        <w:rPr>
          <w:rFonts w:asciiTheme="minorEastAsia" w:hAnsiTheme="minorEastAsia" w:eastAsiaTheme="minorEastAsia" w:cstheme="minorEastAsia"/>
          <w:sz w:val="20"/>
          <w:szCs w:val="20"/>
        </w:rPr>
      </w:pPr>
    </w:p>
    <w:p>
      <w:pPr>
        <w:adjustRightInd w:val="0"/>
        <w:snapToGrid w:val="0"/>
        <w:spacing w:line="360" w:lineRule="auto"/>
        <w:rPr>
          <w:rFonts w:asciiTheme="minorEastAsia" w:hAnsiTheme="minorEastAsia" w:eastAsiaTheme="minorEastAsia" w:cstheme="minorEastAsia"/>
          <w:sz w:val="20"/>
          <w:szCs w:val="20"/>
        </w:rPr>
      </w:pP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b w:val="0"/>
          <w:sz w:val="20"/>
          <w:szCs w:val="20"/>
        </w:rPr>
      </w:pPr>
      <w:r>
        <w:rPr>
          <w:rFonts w:hint="eastAsia" w:asciiTheme="minorEastAsia" w:hAnsiTheme="minorEastAsia" w:eastAsiaTheme="minorEastAsia" w:cstheme="minorEastAsia"/>
          <w:sz w:val="20"/>
          <w:szCs w:val="20"/>
        </w:rPr>
        <w:br w:type="page"/>
      </w:r>
      <w:bookmarkStart w:id="1429" w:name="_Toc22254"/>
      <w:bookmarkStart w:id="1430" w:name="_Toc54862352"/>
      <w:bookmarkStart w:id="1431" w:name="_Toc113958617"/>
      <w:bookmarkStart w:id="1432" w:name="_Hlk38571789"/>
      <w:r>
        <w:rPr>
          <w:rFonts w:hint="eastAsia" w:asciiTheme="minorEastAsia" w:hAnsiTheme="minorEastAsia" w:eastAsiaTheme="minorEastAsia" w:cstheme="minorEastAsia"/>
          <w:sz w:val="32"/>
          <w:szCs w:val="40"/>
        </w:rPr>
        <w:t>附件1</w:t>
      </w:r>
      <w:r>
        <w:rPr>
          <w:rFonts w:asciiTheme="minorEastAsia" w:hAnsiTheme="minorEastAsia" w:eastAsiaTheme="minorEastAsia" w:cstheme="minorEastAsia"/>
          <w:sz w:val="32"/>
          <w:szCs w:val="40"/>
        </w:rPr>
        <w:t xml:space="preserve"> </w:t>
      </w:r>
      <w:r>
        <w:rPr>
          <w:rFonts w:hint="eastAsia" w:asciiTheme="minorEastAsia" w:hAnsiTheme="minorEastAsia" w:eastAsiaTheme="minorEastAsia" w:cstheme="minorEastAsia"/>
          <w:sz w:val="32"/>
          <w:szCs w:val="40"/>
        </w:rPr>
        <w:t>发包人要求</w:t>
      </w:r>
      <w:bookmarkEnd w:id="1429"/>
      <w:bookmarkEnd w:id="1430"/>
      <w:bookmarkEnd w:id="1431"/>
    </w:p>
    <w:bookmarkEnd w:id="1432"/>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pStyle w:val="2"/>
        <w:rPr>
          <w:rFonts w:asciiTheme="minorEastAsia" w:hAnsiTheme="minorEastAsia" w:eastAsiaTheme="minorEastAsia" w:cstheme="minorEastAsia"/>
          <w:sz w:val="20"/>
          <w:szCs w:val="20"/>
        </w:rPr>
      </w:pPr>
    </w:p>
    <w:p>
      <w:pPr>
        <w:widowControl/>
        <w:autoSpaceDE/>
        <w:autoSpaceDN/>
        <w:rPr>
          <w:rFonts w:asciiTheme="minorEastAsia" w:hAnsiTheme="minorEastAsia" w:eastAsiaTheme="minorEastAsia" w:cstheme="minorEastAsia"/>
          <w:b/>
          <w:bCs/>
          <w:sz w:val="32"/>
          <w:szCs w:val="40"/>
        </w:rPr>
      </w:pPr>
      <w:bookmarkStart w:id="1433" w:name="_Toc54862353"/>
      <w:bookmarkStart w:id="1434" w:name="_Toc20171894"/>
      <w:bookmarkStart w:id="1435" w:name="_Toc19423"/>
      <w:bookmarkStart w:id="1436" w:name="_Toc113958618"/>
      <w:r>
        <w:rPr>
          <w:rFonts w:asciiTheme="minorEastAsia" w:hAnsiTheme="minorEastAsia" w:eastAsiaTheme="minorEastAsia" w:cstheme="minorEastAsia"/>
          <w:sz w:val="32"/>
          <w:szCs w:val="40"/>
        </w:rPr>
        <w:br w:type="page"/>
      </w: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附件2 发包人供应材料设备一览表</w:t>
      </w:r>
      <w:bookmarkEnd w:id="1433"/>
      <w:bookmarkEnd w:id="1434"/>
      <w:bookmarkEnd w:id="1435"/>
      <w:bookmarkEnd w:id="1436"/>
    </w:p>
    <w:tbl>
      <w:tblPr>
        <w:tblStyle w:val="47"/>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2"/>
        <w:gridCol w:w="1165"/>
        <w:gridCol w:w="1126"/>
        <w:gridCol w:w="567"/>
        <w:gridCol w:w="686"/>
        <w:gridCol w:w="992"/>
        <w:gridCol w:w="1134"/>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2"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序号</w:t>
            </w:r>
          </w:p>
        </w:tc>
        <w:tc>
          <w:tcPr>
            <w:tcW w:w="1165"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材料、设备品种</w:t>
            </w:r>
          </w:p>
        </w:tc>
        <w:tc>
          <w:tcPr>
            <w:tcW w:w="1126"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规格型号</w:t>
            </w:r>
          </w:p>
        </w:tc>
        <w:tc>
          <w:tcPr>
            <w:tcW w:w="567"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单位</w:t>
            </w:r>
          </w:p>
        </w:tc>
        <w:tc>
          <w:tcPr>
            <w:tcW w:w="686"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数量</w:t>
            </w:r>
          </w:p>
        </w:tc>
        <w:tc>
          <w:tcPr>
            <w:tcW w:w="992"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单价（元）</w:t>
            </w:r>
          </w:p>
        </w:tc>
        <w:tc>
          <w:tcPr>
            <w:tcW w:w="1134"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质量等级</w:t>
            </w:r>
          </w:p>
        </w:tc>
        <w:tc>
          <w:tcPr>
            <w:tcW w:w="1134"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供应时间</w:t>
            </w:r>
          </w:p>
        </w:tc>
        <w:tc>
          <w:tcPr>
            <w:tcW w:w="1134"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送达地点</w:t>
            </w:r>
          </w:p>
        </w:tc>
        <w:tc>
          <w:tcPr>
            <w:tcW w:w="709"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pStyle w:val="16"/>
              <w:rPr>
                <w:rFonts w:asciiTheme="minorEastAsia" w:hAnsiTheme="minorEastAsia" w:eastAsiaTheme="minorEastAsia" w:cstheme="minorEastAsia"/>
              </w:rPr>
            </w:pPr>
          </w:p>
        </w:tc>
        <w:tc>
          <w:tcPr>
            <w:tcW w:w="1165" w:type="dxa"/>
            <w:vAlign w:val="center"/>
          </w:tcPr>
          <w:p>
            <w:pPr>
              <w:pStyle w:val="16"/>
              <w:rPr>
                <w:rFonts w:asciiTheme="minorEastAsia" w:hAnsiTheme="minorEastAsia" w:eastAsiaTheme="minorEastAsia" w:cstheme="minorEastAsia"/>
              </w:rPr>
            </w:pPr>
          </w:p>
        </w:tc>
        <w:tc>
          <w:tcPr>
            <w:tcW w:w="1126" w:type="dxa"/>
            <w:vAlign w:val="center"/>
          </w:tcPr>
          <w:p>
            <w:pPr>
              <w:pStyle w:val="16"/>
              <w:rPr>
                <w:rFonts w:asciiTheme="minorEastAsia" w:hAnsiTheme="minorEastAsia" w:eastAsiaTheme="minorEastAsia" w:cstheme="minorEastAsia"/>
              </w:rPr>
            </w:pPr>
          </w:p>
        </w:tc>
        <w:tc>
          <w:tcPr>
            <w:tcW w:w="567" w:type="dxa"/>
            <w:vAlign w:val="center"/>
          </w:tcPr>
          <w:p>
            <w:pPr>
              <w:pStyle w:val="16"/>
              <w:rPr>
                <w:rFonts w:asciiTheme="minorEastAsia" w:hAnsiTheme="minorEastAsia" w:eastAsiaTheme="minorEastAsia" w:cstheme="minorEastAsia"/>
              </w:rPr>
            </w:pPr>
          </w:p>
        </w:tc>
        <w:tc>
          <w:tcPr>
            <w:tcW w:w="686" w:type="dxa"/>
            <w:vAlign w:val="center"/>
          </w:tcPr>
          <w:p>
            <w:pPr>
              <w:pStyle w:val="16"/>
              <w:rPr>
                <w:rFonts w:asciiTheme="minorEastAsia" w:hAnsiTheme="minorEastAsia" w:eastAsiaTheme="minorEastAsia" w:cstheme="minorEastAsia"/>
              </w:rPr>
            </w:pPr>
          </w:p>
        </w:tc>
        <w:tc>
          <w:tcPr>
            <w:tcW w:w="992" w:type="dxa"/>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1134" w:type="dxa"/>
            <w:vAlign w:val="center"/>
          </w:tcPr>
          <w:p>
            <w:pPr>
              <w:pStyle w:val="16"/>
              <w:rPr>
                <w:rFonts w:asciiTheme="minorEastAsia" w:hAnsiTheme="minorEastAsia" w:eastAsiaTheme="minorEastAsia" w:cstheme="minorEastAsia"/>
              </w:rPr>
            </w:pPr>
          </w:p>
        </w:tc>
        <w:tc>
          <w:tcPr>
            <w:tcW w:w="709"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552" w:type="dxa"/>
            <w:vAlign w:val="center"/>
          </w:tcPr>
          <w:p>
            <w:pPr>
              <w:rPr>
                <w:rFonts w:asciiTheme="minorEastAsia" w:hAnsiTheme="minorEastAsia" w:eastAsiaTheme="minorEastAsia" w:cstheme="minorEastAsia"/>
              </w:rPr>
            </w:pPr>
          </w:p>
        </w:tc>
        <w:tc>
          <w:tcPr>
            <w:tcW w:w="1165" w:type="dxa"/>
            <w:vAlign w:val="center"/>
          </w:tcPr>
          <w:p>
            <w:pPr>
              <w:rPr>
                <w:rFonts w:asciiTheme="minorEastAsia" w:hAnsiTheme="minorEastAsia" w:eastAsiaTheme="minorEastAsia" w:cstheme="minorEastAsia"/>
              </w:rPr>
            </w:pPr>
          </w:p>
        </w:tc>
        <w:tc>
          <w:tcPr>
            <w:tcW w:w="1126" w:type="dxa"/>
            <w:vAlign w:val="center"/>
          </w:tcPr>
          <w:p>
            <w:pPr>
              <w:rPr>
                <w:rFonts w:asciiTheme="minorEastAsia" w:hAnsiTheme="minorEastAsia" w:eastAsiaTheme="minorEastAsia" w:cstheme="minorEastAsia"/>
              </w:rPr>
            </w:pPr>
          </w:p>
        </w:tc>
        <w:tc>
          <w:tcPr>
            <w:tcW w:w="567" w:type="dxa"/>
            <w:vAlign w:val="center"/>
          </w:tcPr>
          <w:p>
            <w:pPr>
              <w:rPr>
                <w:rFonts w:asciiTheme="minorEastAsia" w:hAnsiTheme="minorEastAsia" w:eastAsiaTheme="minorEastAsia" w:cstheme="minorEastAsia"/>
              </w:rPr>
            </w:pPr>
          </w:p>
        </w:tc>
        <w:tc>
          <w:tcPr>
            <w:tcW w:w="686" w:type="dxa"/>
            <w:vAlign w:val="center"/>
          </w:tcPr>
          <w:p>
            <w:pPr>
              <w:rPr>
                <w:rFonts w:asciiTheme="minorEastAsia" w:hAnsiTheme="minorEastAsia" w:eastAsiaTheme="minorEastAsia" w:cstheme="minorEastAsia"/>
              </w:rPr>
            </w:pPr>
          </w:p>
        </w:tc>
        <w:tc>
          <w:tcPr>
            <w:tcW w:w="992" w:type="dxa"/>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1134" w:type="dxa"/>
            <w:vAlign w:val="center"/>
          </w:tcPr>
          <w:p>
            <w:pPr>
              <w:rPr>
                <w:rFonts w:asciiTheme="minorEastAsia" w:hAnsiTheme="minorEastAsia" w:eastAsiaTheme="minorEastAsia" w:cstheme="minorEastAsia"/>
              </w:rPr>
            </w:pPr>
          </w:p>
        </w:tc>
        <w:tc>
          <w:tcPr>
            <w:tcW w:w="709" w:type="dxa"/>
            <w:vAlign w:val="center"/>
          </w:tcPr>
          <w:p>
            <w:pPr>
              <w:rPr>
                <w:rFonts w:asciiTheme="minorEastAsia" w:hAnsiTheme="minorEastAsia" w:eastAsiaTheme="minorEastAsia" w:cstheme="minorEastAsia"/>
              </w:rPr>
            </w:pPr>
          </w:p>
        </w:tc>
      </w:tr>
    </w:tbl>
    <w:p>
      <w:pPr>
        <w:rPr>
          <w:rFonts w:asciiTheme="minorEastAsia" w:hAnsiTheme="minorEastAsia" w:eastAsiaTheme="minorEastAsia" w:cstheme="minorEastAsia"/>
        </w:rPr>
      </w:pP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rPr>
      </w:pPr>
      <w:r>
        <w:rPr>
          <w:rFonts w:hint="eastAsia" w:asciiTheme="minorEastAsia" w:hAnsiTheme="minorEastAsia" w:eastAsiaTheme="minorEastAsia" w:cstheme="minorEastAsia"/>
        </w:rPr>
        <w:br w:type="page"/>
      </w:r>
      <w:bookmarkStart w:id="1437" w:name="_Toc23581"/>
      <w:bookmarkStart w:id="1438" w:name="_Toc20171895"/>
      <w:bookmarkStart w:id="1439" w:name="_Toc54862354"/>
      <w:bookmarkStart w:id="1440" w:name="_Toc113958619"/>
      <w:r>
        <w:rPr>
          <w:rFonts w:hint="eastAsia" w:asciiTheme="minorEastAsia" w:hAnsiTheme="minorEastAsia" w:eastAsiaTheme="minorEastAsia" w:cstheme="minorEastAsia"/>
          <w:sz w:val="32"/>
          <w:szCs w:val="40"/>
        </w:rPr>
        <w:t>附件3 工程质量保修书</w:t>
      </w:r>
      <w:bookmarkEnd w:id="1437"/>
      <w:bookmarkEnd w:id="1438"/>
      <w:bookmarkEnd w:id="1439"/>
      <w:bookmarkEnd w:id="1440"/>
    </w:p>
    <w:p>
      <w:pPr>
        <w:spacing w:line="360" w:lineRule="auto"/>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发包人（全称）：</w:t>
      </w:r>
      <w:r>
        <w:rPr>
          <w:rFonts w:hint="eastAsia" w:asciiTheme="minorEastAsia" w:hAnsiTheme="minorEastAsia" w:eastAsiaTheme="minorEastAsia" w:cstheme="minorEastAsia"/>
          <w:sz w:val="21"/>
          <w:szCs w:val="20"/>
          <w:u w:val="single"/>
        </w:rPr>
        <w:t xml:space="preserve">                                  </w:t>
      </w:r>
    </w:p>
    <w:p>
      <w:pPr>
        <w:spacing w:line="360" w:lineRule="auto"/>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承包人（全称）：</w:t>
      </w:r>
      <w:r>
        <w:rPr>
          <w:rFonts w:hint="eastAsia" w:asciiTheme="minorEastAsia" w:hAnsiTheme="minorEastAsia" w:eastAsiaTheme="minorEastAsia" w:cstheme="minorEastAsia"/>
          <w:sz w:val="21"/>
          <w:szCs w:val="20"/>
          <w:u w:val="single"/>
        </w:rPr>
        <w:t xml:space="preserve">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发包人和承包人根据《中华人民共和国建筑法》和《建设工程质量管理条例》，经协商一致就</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（工程全称）订立工程质量保修书。</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一、工程质量保修范围和内容</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承包人在质量保修期内，按照有关法律规定和合同约定，承担工程质量保修责任。</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二、质量保修期</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根据《建设工程质量管理条例》及有关规定，工程的质量保修期如下：</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1．地基基础工程和主体结构工程为设计文件规定的工程合理使用年限；</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2．屋面防水工程、有防水要求的卫生间、房间和外墙面的防渗为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年；</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3．装修工程为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年；</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4．电气管线、给排水管道、设备安装工程为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年；</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5．供热与供冷系统为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个采暖期、供冷期；</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6．住宅小区内的给排水设施、道路等配套工程为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年；</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7．其他项目保修期限约定如下：</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质量保修期自工程竣工验收合格之日起计算。</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三、缺陷责任期</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工程缺陷责任期为</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个月，缺陷责任期自工程通过竣工验收之日起计算。单位/区段工程先于全部工程进行验收，单位/区段工程缺陷责任期自单位/区段工程验收合格之日起算。</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缺陷责任期终止后，发包人应返还剩余的质量保证金。</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四、质量保修责任</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1．属于保修范围、内容的项目，承包人应当在接到保修通知之日起7天内派人保修。承包人不在约定期限内派人保修的，发包人可以委托他人修理。</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2．发生紧急事故需抢修的，承包人在接到事故通知后，应当立即到达事故现场抢修。</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4．质量保修完成后，由发包人组织验收。</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五、保修费用</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保修费用由造成质量缺陷的责任方承担。</w:t>
      </w:r>
    </w:p>
    <w:p>
      <w:pPr>
        <w:spacing w:line="360" w:lineRule="auto"/>
        <w:ind w:firstLine="600"/>
        <w:rPr>
          <w:rFonts w:asciiTheme="minorEastAsia" w:hAnsiTheme="minorEastAsia" w:eastAsiaTheme="minorEastAsia" w:cstheme="minorEastAsia"/>
          <w:sz w:val="21"/>
          <w:szCs w:val="20"/>
          <w:u w:val="single"/>
        </w:rPr>
      </w:pPr>
      <w:r>
        <w:rPr>
          <w:rFonts w:hint="eastAsia" w:asciiTheme="minorEastAsia" w:hAnsiTheme="minorEastAsia" w:eastAsiaTheme="minorEastAsia" w:cstheme="minorEastAsia"/>
          <w:sz w:val="21"/>
          <w:szCs w:val="20"/>
        </w:rPr>
        <w:t>六、双方约定的其他工程质量保修事项：</w:t>
      </w:r>
      <w:r>
        <w:rPr>
          <w:rFonts w:hint="eastAsia" w:asciiTheme="minorEastAsia" w:hAnsiTheme="minorEastAsia" w:eastAsiaTheme="minorEastAsia" w:cstheme="minorEastAsia"/>
          <w:sz w:val="21"/>
          <w:szCs w:val="20"/>
          <w:u w:val="single"/>
        </w:rPr>
        <w:t xml:space="preserve">                </w:t>
      </w:r>
      <w:r>
        <w:rPr>
          <w:rFonts w:hint="eastAsia" w:asciiTheme="minorEastAsia" w:hAnsiTheme="minorEastAsia" w:eastAsiaTheme="minorEastAsia" w:cstheme="minorEastAsia"/>
          <w:sz w:val="21"/>
          <w:szCs w:val="20"/>
        </w:rPr>
        <w:t>。</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工程质量保修书由发包人、承包人在工程竣工验收前共同签署，作为工程总承包合同附件，其有效期限至保修期满。</w:t>
      </w:r>
    </w:p>
    <w:p>
      <w:pPr>
        <w:spacing w:line="360" w:lineRule="auto"/>
        <w:ind w:firstLine="600"/>
        <w:rPr>
          <w:rFonts w:asciiTheme="minorEastAsia" w:hAnsiTheme="minorEastAsia" w:eastAsiaTheme="minorEastAsia" w:cstheme="minorEastAsia"/>
          <w:sz w:val="21"/>
          <w:szCs w:val="20"/>
        </w:rPr>
      </w:pP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发包人(公章)：               承包人(公章)：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地  址：                     地  址：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0"/>
        </w:rPr>
        <w:t>)：     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0"/>
        </w:rPr>
        <w:t xml:space="preserve">)：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委托代理人(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0"/>
        </w:rPr>
        <w:t>)：     委托代理人(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0"/>
        </w:rPr>
        <w:t xml:space="preserve">)：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电  话：                     电  话：</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传  真：                     传  真：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开户银行：                   开户银行：</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账  号：                     账  号： </w:t>
      </w:r>
    </w:p>
    <w:p>
      <w:pPr>
        <w:spacing w:line="360" w:lineRule="auto"/>
        <w:ind w:firstLine="600"/>
        <w:rPr>
          <w:rFonts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邮政编码：                   邮政编码：   </w:t>
      </w:r>
    </w:p>
    <w:p>
      <w:pPr>
        <w:spacing w:line="360" w:lineRule="auto"/>
        <w:rPr>
          <w:rFonts w:asciiTheme="minorEastAsia" w:hAnsiTheme="minorEastAsia" w:eastAsiaTheme="minorEastAsia" w:cstheme="minorEastAsia"/>
          <w:sz w:val="32"/>
          <w:szCs w:val="30"/>
        </w:rPr>
      </w:pPr>
      <w:r>
        <w:rPr>
          <w:rFonts w:hint="eastAsia" w:asciiTheme="minorEastAsia" w:hAnsiTheme="minorEastAsia" w:eastAsiaTheme="minorEastAsia" w:cstheme="minorEastAsia"/>
          <w:sz w:val="32"/>
          <w:szCs w:val="30"/>
        </w:rPr>
        <w:br w:type="page"/>
      </w: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32"/>
          <w:szCs w:val="40"/>
        </w:rPr>
      </w:pPr>
      <w:bookmarkStart w:id="1441" w:name="_Toc20171896"/>
      <w:bookmarkStart w:id="1442" w:name="_Toc54862355"/>
      <w:bookmarkStart w:id="1443" w:name="_Toc15775"/>
      <w:bookmarkStart w:id="1444" w:name="_Toc113958620"/>
      <w:r>
        <w:rPr>
          <w:rFonts w:hint="eastAsia" w:asciiTheme="minorEastAsia" w:hAnsiTheme="minorEastAsia" w:eastAsiaTheme="minorEastAsia" w:cstheme="minorEastAsia"/>
          <w:sz w:val="32"/>
          <w:szCs w:val="40"/>
        </w:rPr>
        <w:t>附件4 主要建设工程文件目录</w:t>
      </w:r>
      <w:bookmarkEnd w:id="1441"/>
      <w:bookmarkEnd w:id="1442"/>
      <w:bookmarkEnd w:id="1443"/>
      <w:bookmarkEnd w:id="1444"/>
    </w:p>
    <w:tbl>
      <w:tblPr>
        <w:tblStyle w:val="4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6" w:hRule="atLeast"/>
          <w:jc w:val="center"/>
        </w:trPr>
        <w:tc>
          <w:tcPr>
            <w:tcW w:w="2125"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文件名称</w:t>
            </w:r>
          </w:p>
        </w:tc>
        <w:tc>
          <w:tcPr>
            <w:tcW w:w="1276"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套数</w:t>
            </w:r>
          </w:p>
        </w:tc>
        <w:tc>
          <w:tcPr>
            <w:tcW w:w="1450"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费用（元）</w:t>
            </w:r>
          </w:p>
        </w:tc>
        <w:tc>
          <w:tcPr>
            <w:tcW w:w="1243" w:type="dxa"/>
            <w:vAlign w:val="center"/>
          </w:tcPr>
          <w:p>
            <w:pPr>
              <w:pStyle w:val="16"/>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质量</w:t>
            </w:r>
          </w:p>
        </w:tc>
        <w:tc>
          <w:tcPr>
            <w:tcW w:w="1450" w:type="dxa"/>
            <w:vAlign w:val="center"/>
          </w:tcPr>
          <w:p>
            <w:pPr>
              <w:jc w:val="center"/>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移交时间</w:t>
            </w:r>
          </w:p>
        </w:tc>
        <w:tc>
          <w:tcPr>
            <w:tcW w:w="1670" w:type="dxa"/>
            <w:vAlign w:val="center"/>
          </w:tcPr>
          <w:p>
            <w:pPr>
              <w:jc w:val="center"/>
              <w:rPr>
                <w:rFonts w:asciiTheme="minorEastAsia" w:hAnsiTheme="minorEastAsia" w:eastAsiaTheme="minorEastAsia" w:cstheme="minorEastAsia"/>
                <w:b/>
                <w:sz w:val="21"/>
              </w:rPr>
            </w:pPr>
            <w:r>
              <w:rPr>
                <w:rFonts w:hint="eastAsia" w:asciiTheme="minorEastAsia" w:hAnsiTheme="minorEastAsia" w:eastAsiaTheme="minorEastAsia" w:cstheme="minorEastAsia"/>
                <w:b/>
                <w:sz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vAlign w:val="center"/>
          </w:tcPr>
          <w:p>
            <w:pPr>
              <w:pStyle w:val="16"/>
              <w:rPr>
                <w:rFonts w:asciiTheme="minorEastAsia" w:hAnsiTheme="minorEastAsia" w:eastAsiaTheme="minorEastAsia" w:cstheme="minorEastAsia"/>
              </w:rPr>
            </w:pPr>
          </w:p>
        </w:tc>
        <w:tc>
          <w:tcPr>
            <w:tcW w:w="1276"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243" w:type="dxa"/>
            <w:vAlign w:val="center"/>
          </w:tcPr>
          <w:p>
            <w:pPr>
              <w:pStyle w:val="16"/>
              <w:rPr>
                <w:rFonts w:asciiTheme="minorEastAsia" w:hAnsiTheme="minorEastAsia" w:eastAsiaTheme="minorEastAsia" w:cstheme="minorEastAsia"/>
              </w:rPr>
            </w:pPr>
          </w:p>
        </w:tc>
        <w:tc>
          <w:tcPr>
            <w:tcW w:w="1450" w:type="dxa"/>
            <w:vAlign w:val="center"/>
          </w:tcPr>
          <w:p>
            <w:pPr>
              <w:pStyle w:val="16"/>
              <w:rPr>
                <w:rFonts w:asciiTheme="minorEastAsia" w:hAnsiTheme="minorEastAsia" w:eastAsiaTheme="minorEastAsia" w:cstheme="minorEastAsia"/>
              </w:rPr>
            </w:pPr>
          </w:p>
        </w:tc>
        <w:tc>
          <w:tcPr>
            <w:tcW w:w="1670" w:type="dxa"/>
            <w:vAlign w:val="center"/>
          </w:tcPr>
          <w:p>
            <w:pPr>
              <w:pStyle w:val="16"/>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2125" w:type="dxa"/>
          </w:tcPr>
          <w:p>
            <w:pPr>
              <w:rPr>
                <w:rFonts w:asciiTheme="minorEastAsia" w:hAnsiTheme="minorEastAsia" w:eastAsiaTheme="minorEastAsia" w:cstheme="minorEastAsia"/>
              </w:rPr>
            </w:pPr>
          </w:p>
        </w:tc>
        <w:tc>
          <w:tcPr>
            <w:tcW w:w="1276"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243" w:type="dxa"/>
          </w:tcPr>
          <w:p>
            <w:pPr>
              <w:rPr>
                <w:rFonts w:asciiTheme="minorEastAsia" w:hAnsiTheme="minorEastAsia" w:eastAsiaTheme="minorEastAsia" w:cstheme="minorEastAsia"/>
              </w:rPr>
            </w:pPr>
          </w:p>
        </w:tc>
        <w:tc>
          <w:tcPr>
            <w:tcW w:w="1450" w:type="dxa"/>
          </w:tcPr>
          <w:p>
            <w:pPr>
              <w:rPr>
                <w:rFonts w:asciiTheme="minorEastAsia" w:hAnsiTheme="minorEastAsia" w:eastAsiaTheme="minorEastAsia" w:cstheme="minorEastAsia"/>
              </w:rPr>
            </w:pPr>
          </w:p>
        </w:tc>
        <w:tc>
          <w:tcPr>
            <w:tcW w:w="1670" w:type="dxa"/>
          </w:tcPr>
          <w:p>
            <w:pPr>
              <w:rPr>
                <w:rFonts w:asciiTheme="minorEastAsia" w:hAnsiTheme="minorEastAsia" w:eastAsiaTheme="minorEastAsia" w:cstheme="minorEastAsia"/>
              </w:rPr>
            </w:pPr>
          </w:p>
        </w:tc>
      </w:tr>
    </w:tbl>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sectPr>
          <w:headerReference r:id="rId5" w:type="default"/>
          <w:footerReference r:id="rId6" w:type="default"/>
          <w:pgSz w:w="11906" w:h="16838"/>
          <w:pgMar w:top="1383" w:right="1803" w:bottom="1383" w:left="1803" w:header="720" w:footer="998" w:gutter="0"/>
          <w:cols w:space="0" w:num="1"/>
          <w:docGrid w:linePitch="326" w:charSpace="0"/>
        </w:sectPr>
      </w:pP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32"/>
          <w:szCs w:val="40"/>
        </w:rPr>
      </w:pPr>
      <w:bookmarkStart w:id="1445" w:name="_Toc54862356"/>
      <w:bookmarkStart w:id="1446" w:name="_Toc20171897"/>
      <w:bookmarkStart w:id="1447" w:name="_Toc1043"/>
      <w:bookmarkStart w:id="1448" w:name="_Toc113958621"/>
      <w:r>
        <w:rPr>
          <w:rFonts w:hint="eastAsia" w:asciiTheme="minorEastAsia" w:hAnsiTheme="minorEastAsia" w:eastAsiaTheme="minorEastAsia" w:cstheme="minorEastAsia"/>
          <w:sz w:val="32"/>
          <w:szCs w:val="40"/>
        </w:rPr>
        <w:t>附件5 承包人主要管理人员表</w:t>
      </w:r>
      <w:bookmarkEnd w:id="1445"/>
      <w:bookmarkEnd w:id="1446"/>
      <w:bookmarkEnd w:id="1447"/>
      <w:bookmarkEnd w:id="1448"/>
    </w:p>
    <w:tbl>
      <w:tblPr>
        <w:tblStyle w:val="47"/>
        <w:tblW w:w="9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34"/>
        <w:gridCol w:w="1446"/>
        <w:gridCol w:w="1156"/>
        <w:gridCol w:w="1156"/>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8" w:hRule="atLeast"/>
          <w:jc w:val="center"/>
        </w:trPr>
        <w:tc>
          <w:tcPr>
            <w:tcW w:w="1534" w:type="dxa"/>
            <w:vAlign w:val="center"/>
          </w:tcPr>
          <w:p>
            <w:pPr>
              <w:pStyle w:val="16"/>
              <w:ind w:firstLine="420"/>
              <w:rPr>
                <w:rFonts w:asciiTheme="minorEastAsia" w:hAnsiTheme="minorEastAsia" w:eastAsiaTheme="minorEastAsia" w:cstheme="minorEastAsia"/>
                <w:b/>
              </w:rPr>
            </w:pPr>
            <w:r>
              <w:rPr>
                <w:rFonts w:hint="eastAsia" w:asciiTheme="minorEastAsia" w:hAnsiTheme="minorEastAsia" w:eastAsiaTheme="minorEastAsia" w:cstheme="minorEastAsia"/>
                <w:b/>
              </w:rPr>
              <w:t>名    称</w:t>
            </w:r>
          </w:p>
        </w:tc>
        <w:tc>
          <w:tcPr>
            <w:tcW w:w="1446" w:type="dxa"/>
            <w:vAlign w:val="center"/>
          </w:tcPr>
          <w:p>
            <w:pPr>
              <w:pStyle w:val="16"/>
              <w:ind w:firstLine="420"/>
              <w:rPr>
                <w:rFonts w:asciiTheme="minorEastAsia" w:hAnsiTheme="minorEastAsia" w:eastAsiaTheme="minorEastAsia" w:cstheme="minorEastAsia"/>
                <w:b/>
              </w:rPr>
            </w:pPr>
            <w:r>
              <w:rPr>
                <w:rFonts w:hint="eastAsia" w:asciiTheme="minorEastAsia" w:hAnsiTheme="minorEastAsia" w:eastAsiaTheme="minorEastAsia" w:cstheme="minorEastAsia"/>
                <w:b/>
              </w:rPr>
              <w:t>姓名</w:t>
            </w:r>
          </w:p>
        </w:tc>
        <w:tc>
          <w:tcPr>
            <w:tcW w:w="1156" w:type="dxa"/>
            <w:vAlign w:val="center"/>
          </w:tcPr>
          <w:p>
            <w:pPr>
              <w:pStyle w:val="16"/>
              <w:ind w:firstLine="420"/>
              <w:rPr>
                <w:rFonts w:asciiTheme="minorEastAsia" w:hAnsiTheme="minorEastAsia" w:eastAsiaTheme="minorEastAsia" w:cstheme="minorEastAsia"/>
                <w:b/>
              </w:rPr>
            </w:pPr>
            <w:r>
              <w:rPr>
                <w:rFonts w:hint="eastAsia" w:asciiTheme="minorEastAsia" w:hAnsiTheme="minorEastAsia" w:eastAsiaTheme="minorEastAsia" w:cstheme="minorEastAsia"/>
                <w:b/>
              </w:rPr>
              <w:t>职务</w:t>
            </w:r>
          </w:p>
        </w:tc>
        <w:tc>
          <w:tcPr>
            <w:tcW w:w="1156" w:type="dxa"/>
            <w:vAlign w:val="center"/>
          </w:tcPr>
          <w:p>
            <w:pPr>
              <w:pStyle w:val="16"/>
              <w:ind w:firstLine="420"/>
              <w:rPr>
                <w:rFonts w:asciiTheme="minorEastAsia" w:hAnsiTheme="minorEastAsia" w:eastAsiaTheme="minorEastAsia" w:cstheme="minorEastAsia"/>
                <w:b/>
              </w:rPr>
            </w:pPr>
            <w:r>
              <w:rPr>
                <w:rFonts w:hint="eastAsia" w:asciiTheme="minorEastAsia" w:hAnsiTheme="minorEastAsia" w:eastAsiaTheme="minorEastAsia" w:cstheme="minorEastAsia"/>
                <w:b/>
              </w:rPr>
              <w:t>职称</w:t>
            </w:r>
          </w:p>
        </w:tc>
        <w:tc>
          <w:tcPr>
            <w:tcW w:w="3974" w:type="dxa"/>
            <w:vAlign w:val="center"/>
          </w:tcPr>
          <w:p>
            <w:pPr>
              <w:pStyle w:val="16"/>
              <w:ind w:firstLine="420"/>
              <w:rPr>
                <w:rFonts w:asciiTheme="minorEastAsia" w:hAnsiTheme="minorEastAsia" w:eastAsiaTheme="minorEastAsia" w:cstheme="minorEastAsia"/>
                <w:b/>
              </w:rPr>
            </w:pPr>
            <w:r>
              <w:rPr>
                <w:rFonts w:hint="eastAsia" w:asciiTheme="minorEastAsia" w:hAnsiTheme="minorEastAsia" w:eastAsiaTheme="minorEastAsia" w:cstheme="minorEastAsia"/>
                <w:b/>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jc w:val="center"/>
        </w:trPr>
        <w:tc>
          <w:tcPr>
            <w:tcW w:w="9266" w:type="dxa"/>
            <w:gridSpan w:val="5"/>
            <w:vAlign w:val="center"/>
          </w:tcPr>
          <w:p>
            <w:pPr>
              <w:pStyle w:val="16"/>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项目主管</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其他人员</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7" w:hRule="atLeast"/>
          <w:jc w:val="center"/>
        </w:trPr>
        <w:tc>
          <w:tcPr>
            <w:tcW w:w="9266" w:type="dxa"/>
            <w:gridSpan w:val="5"/>
            <w:vAlign w:val="center"/>
          </w:tcPr>
          <w:p>
            <w:pPr>
              <w:pStyle w:val="16"/>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5"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工程总承包</w:t>
            </w:r>
          </w:p>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项目经理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8"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项目副经理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设计负责人</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采购负责人</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施工负责人</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技术负责人</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造价管理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8"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质量管理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计划管理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安全管理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环境管理</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Merge w:val="restart"/>
            <w:vAlign w:val="center"/>
          </w:tcPr>
          <w:p>
            <w:pPr>
              <w:pStyle w:val="16"/>
              <w:jc w:val="center"/>
              <w:rPr>
                <w:rFonts w:asciiTheme="minorEastAsia" w:hAnsiTheme="minorEastAsia" w:eastAsiaTheme="minorEastAsia" w:cstheme="minorEastAsia"/>
              </w:rPr>
            </w:pPr>
            <w:r>
              <w:rPr>
                <w:rFonts w:hint="eastAsia" w:asciiTheme="minorEastAsia" w:hAnsiTheme="minorEastAsia" w:eastAsiaTheme="minorEastAsia" w:cstheme="minorEastAsia"/>
              </w:rPr>
              <w:t>其他人员</w:t>
            </w: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Merge w:val="continue"/>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534" w:type="dxa"/>
            <w:vMerge w:val="continue"/>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534" w:type="dxa"/>
            <w:vMerge w:val="continue"/>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6" w:hRule="atLeast"/>
          <w:jc w:val="center"/>
        </w:trPr>
        <w:tc>
          <w:tcPr>
            <w:tcW w:w="1534" w:type="dxa"/>
            <w:vMerge w:val="continue"/>
            <w:vAlign w:val="center"/>
          </w:tcPr>
          <w:p>
            <w:pPr>
              <w:pStyle w:val="16"/>
              <w:ind w:firstLine="420"/>
              <w:rPr>
                <w:rFonts w:asciiTheme="minorEastAsia" w:hAnsiTheme="minorEastAsia" w:eastAsiaTheme="minorEastAsia" w:cstheme="minorEastAsia"/>
              </w:rPr>
            </w:pPr>
          </w:p>
        </w:tc>
        <w:tc>
          <w:tcPr>
            <w:tcW w:w="144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1156" w:type="dxa"/>
            <w:vAlign w:val="center"/>
          </w:tcPr>
          <w:p>
            <w:pPr>
              <w:pStyle w:val="16"/>
              <w:ind w:firstLine="420"/>
              <w:rPr>
                <w:rFonts w:asciiTheme="minorEastAsia" w:hAnsiTheme="minorEastAsia" w:eastAsiaTheme="minorEastAsia" w:cstheme="minorEastAsia"/>
              </w:rPr>
            </w:pPr>
          </w:p>
        </w:tc>
        <w:tc>
          <w:tcPr>
            <w:tcW w:w="3974" w:type="dxa"/>
            <w:vAlign w:val="center"/>
          </w:tcPr>
          <w:p>
            <w:pPr>
              <w:pStyle w:val="16"/>
              <w:ind w:firstLine="42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7" w:hRule="atLeast"/>
          <w:jc w:val="center"/>
        </w:trPr>
        <w:tc>
          <w:tcPr>
            <w:tcW w:w="1534" w:type="dxa"/>
            <w:vMerge w:val="continue"/>
            <w:vAlign w:val="center"/>
          </w:tcPr>
          <w:p>
            <w:pPr>
              <w:pStyle w:val="16"/>
              <w:rPr>
                <w:rFonts w:asciiTheme="minorEastAsia" w:hAnsiTheme="minorEastAsia" w:eastAsiaTheme="minorEastAsia" w:cstheme="minorEastAsia"/>
              </w:rPr>
            </w:pPr>
          </w:p>
        </w:tc>
        <w:tc>
          <w:tcPr>
            <w:tcW w:w="1446" w:type="dxa"/>
            <w:vAlign w:val="center"/>
          </w:tcPr>
          <w:p>
            <w:pPr>
              <w:pStyle w:val="16"/>
              <w:rPr>
                <w:rFonts w:asciiTheme="minorEastAsia" w:hAnsiTheme="minorEastAsia" w:eastAsiaTheme="minorEastAsia" w:cstheme="minorEastAsia"/>
              </w:rPr>
            </w:pPr>
          </w:p>
        </w:tc>
        <w:tc>
          <w:tcPr>
            <w:tcW w:w="1156" w:type="dxa"/>
            <w:vAlign w:val="center"/>
          </w:tcPr>
          <w:p>
            <w:pPr>
              <w:pStyle w:val="16"/>
              <w:rPr>
                <w:rFonts w:asciiTheme="minorEastAsia" w:hAnsiTheme="minorEastAsia" w:eastAsiaTheme="minorEastAsia" w:cstheme="minorEastAsia"/>
              </w:rPr>
            </w:pPr>
          </w:p>
        </w:tc>
        <w:tc>
          <w:tcPr>
            <w:tcW w:w="1156" w:type="dxa"/>
            <w:vAlign w:val="center"/>
          </w:tcPr>
          <w:p>
            <w:pPr>
              <w:pStyle w:val="16"/>
              <w:rPr>
                <w:rFonts w:asciiTheme="minorEastAsia" w:hAnsiTheme="minorEastAsia" w:eastAsiaTheme="minorEastAsia" w:cstheme="minorEastAsia"/>
              </w:rPr>
            </w:pPr>
          </w:p>
        </w:tc>
        <w:tc>
          <w:tcPr>
            <w:tcW w:w="3974" w:type="dxa"/>
            <w:vAlign w:val="center"/>
          </w:tcPr>
          <w:p>
            <w:pPr>
              <w:pStyle w:val="16"/>
              <w:rPr>
                <w:rFonts w:asciiTheme="minorEastAsia" w:hAnsiTheme="minorEastAsia" w:eastAsiaTheme="minorEastAsia" w:cstheme="minorEastAsia"/>
              </w:rPr>
            </w:pPr>
          </w:p>
        </w:tc>
      </w:tr>
    </w:tbl>
    <w:p>
      <w:pPr>
        <w:rPr>
          <w:rFonts w:asciiTheme="minorEastAsia" w:hAnsiTheme="minorEastAsia" w:eastAsiaTheme="minorEastAsia" w:cstheme="minorEastAsia"/>
        </w:rPr>
      </w:pPr>
      <w:r>
        <w:rPr>
          <w:rFonts w:hint="eastAsia" w:asciiTheme="minorEastAsia" w:hAnsiTheme="minorEastAsia" w:eastAsiaTheme="minorEastAsia" w:cstheme="minorEastAsia"/>
          <w:sz w:val="21"/>
          <w:szCs w:val="21"/>
        </w:rPr>
        <w:br w:type="page"/>
      </w:r>
    </w:p>
    <w:p>
      <w:pPr>
        <w:pStyle w:val="82"/>
        <w:keepNext w:val="0"/>
        <w:keepLines w:val="0"/>
        <w:widowControl/>
        <w:adjustRightInd w:val="0"/>
        <w:snapToGrid w:val="0"/>
        <w:spacing w:before="0" w:after="0" w:line="360" w:lineRule="auto"/>
        <w:ind w:left="0"/>
        <w:jc w:val="center"/>
        <w:rPr>
          <w:rFonts w:asciiTheme="minorEastAsia" w:hAnsiTheme="minorEastAsia" w:eastAsiaTheme="minorEastAsia" w:cstheme="minorEastAsia"/>
          <w:sz w:val="32"/>
          <w:szCs w:val="40"/>
        </w:rPr>
      </w:pPr>
      <w:bookmarkStart w:id="1449" w:name="_Toc54862357"/>
      <w:bookmarkStart w:id="1450" w:name="_Toc19130"/>
      <w:bookmarkStart w:id="1451" w:name="_Toc113958622"/>
      <w:r>
        <w:rPr>
          <w:rFonts w:hint="eastAsia" w:asciiTheme="minorEastAsia" w:hAnsiTheme="minorEastAsia" w:eastAsiaTheme="minorEastAsia" w:cstheme="minorEastAsia"/>
          <w:sz w:val="32"/>
          <w:szCs w:val="40"/>
        </w:rPr>
        <w:t>附件6 价格指数权重表</w:t>
      </w:r>
      <w:bookmarkEnd w:id="1449"/>
      <w:bookmarkEnd w:id="1450"/>
      <w:bookmarkEnd w:id="1451"/>
    </w:p>
    <w:tbl>
      <w:tblPr>
        <w:tblStyle w:val="47"/>
        <w:tblW w:w="9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625"/>
        <w:gridCol w:w="939"/>
        <w:gridCol w:w="1301"/>
        <w:gridCol w:w="1157"/>
        <w:gridCol w:w="1301"/>
        <w:gridCol w:w="131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888" w:type="dxa"/>
            <w:vMerge w:val="restart"/>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序号</w:t>
            </w:r>
          </w:p>
        </w:tc>
        <w:tc>
          <w:tcPr>
            <w:tcW w:w="1564" w:type="dxa"/>
            <w:gridSpan w:val="2"/>
            <w:vMerge w:val="restart"/>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名称</w:t>
            </w:r>
          </w:p>
        </w:tc>
        <w:tc>
          <w:tcPr>
            <w:tcW w:w="2458" w:type="dxa"/>
            <w:gridSpan w:val="2"/>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变更权重B</w:t>
            </w:r>
          </w:p>
        </w:tc>
        <w:tc>
          <w:tcPr>
            <w:tcW w:w="2619" w:type="dxa"/>
            <w:gridSpan w:val="2"/>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基本价格指数F0</w:t>
            </w:r>
          </w:p>
        </w:tc>
        <w:tc>
          <w:tcPr>
            <w:tcW w:w="1478" w:type="dxa"/>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88" w:type="dxa"/>
            <w:vMerge w:val="continue"/>
            <w:shd w:val="clear" w:color="auto" w:fill="auto"/>
            <w:vAlign w:val="center"/>
          </w:tcPr>
          <w:p>
            <w:pPr>
              <w:jc w:val="center"/>
              <w:rPr>
                <w:rFonts w:asciiTheme="minorEastAsia" w:hAnsiTheme="minorEastAsia" w:eastAsiaTheme="minorEastAsia" w:cstheme="minorEastAsia"/>
                <w:b/>
              </w:rPr>
            </w:pPr>
          </w:p>
        </w:tc>
        <w:tc>
          <w:tcPr>
            <w:tcW w:w="1564" w:type="dxa"/>
            <w:gridSpan w:val="2"/>
            <w:vMerge w:val="continue"/>
            <w:shd w:val="clear" w:color="auto" w:fill="auto"/>
            <w:vAlign w:val="center"/>
          </w:tcPr>
          <w:p>
            <w:pPr>
              <w:jc w:val="center"/>
              <w:rPr>
                <w:rFonts w:asciiTheme="minorEastAsia" w:hAnsiTheme="minorEastAsia" w:eastAsiaTheme="minorEastAsia" w:cstheme="minorEastAsia"/>
                <w:b/>
              </w:rPr>
            </w:pPr>
          </w:p>
        </w:tc>
        <w:tc>
          <w:tcPr>
            <w:tcW w:w="1301" w:type="dxa"/>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代号</w:t>
            </w:r>
          </w:p>
        </w:tc>
        <w:tc>
          <w:tcPr>
            <w:tcW w:w="1157" w:type="dxa"/>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权重</w:t>
            </w:r>
          </w:p>
        </w:tc>
        <w:tc>
          <w:tcPr>
            <w:tcW w:w="1301" w:type="dxa"/>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代号</w:t>
            </w:r>
          </w:p>
        </w:tc>
        <w:tc>
          <w:tcPr>
            <w:tcW w:w="1318" w:type="dxa"/>
            <w:shd w:val="clear" w:color="auto" w:fill="auto"/>
            <w:vAlign w:val="center"/>
          </w:tcPr>
          <w:p>
            <w:pPr>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指数</w:t>
            </w:r>
          </w:p>
        </w:tc>
        <w:tc>
          <w:tcPr>
            <w:tcW w:w="1478" w:type="dxa"/>
            <w:shd w:val="clear" w:color="auto" w:fill="auto"/>
            <w:vAlign w:val="center"/>
          </w:tcPr>
          <w:p>
            <w:pPr>
              <w:jc w:val="center"/>
              <w:rPr>
                <w:rFonts w:asciiTheme="minorEastAsia" w:hAnsiTheme="minorEastAsia" w:eastAsiaTheme="minorEastAsia" w:cs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restart"/>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变</w:t>
            </w:r>
          </w:p>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值</w:t>
            </w:r>
          </w:p>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部</w:t>
            </w:r>
          </w:p>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分</w:t>
            </w: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B1</w:t>
            </w:r>
          </w:p>
        </w:tc>
        <w:tc>
          <w:tcPr>
            <w:tcW w:w="1157" w:type="dxa"/>
            <w:shd w:val="clear" w:color="auto" w:fill="auto"/>
            <w:vAlign w:val="center"/>
          </w:tcPr>
          <w:p>
            <w:pPr>
              <w:jc w:val="cente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F01</w:t>
            </w: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continue"/>
            <w:shd w:val="clear" w:color="auto" w:fill="auto"/>
          </w:tcPr>
          <w:p>
            <w:pPr>
              <w:rPr>
                <w:rFonts w:asciiTheme="minorEastAsia" w:hAnsiTheme="minorEastAsia" w:eastAsiaTheme="minorEastAsia" w:cstheme="minorEastAsia"/>
              </w:rPr>
            </w:pP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B2</w:t>
            </w:r>
          </w:p>
        </w:tc>
        <w:tc>
          <w:tcPr>
            <w:tcW w:w="1157" w:type="dxa"/>
            <w:shd w:val="clear" w:color="auto" w:fill="auto"/>
            <w:vAlign w:val="center"/>
          </w:tcPr>
          <w:p>
            <w:pPr>
              <w:jc w:val="cente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F02</w:t>
            </w: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continue"/>
            <w:shd w:val="clear" w:color="auto" w:fill="auto"/>
          </w:tcPr>
          <w:p>
            <w:pPr>
              <w:rPr>
                <w:rFonts w:asciiTheme="minorEastAsia" w:hAnsiTheme="minorEastAsia" w:eastAsiaTheme="minorEastAsia" w:cstheme="minorEastAsia"/>
              </w:rPr>
            </w:pP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B3</w:t>
            </w:r>
          </w:p>
        </w:tc>
        <w:tc>
          <w:tcPr>
            <w:tcW w:w="1157" w:type="dxa"/>
            <w:shd w:val="clear" w:color="auto" w:fill="auto"/>
            <w:vAlign w:val="center"/>
          </w:tcPr>
          <w:p>
            <w:pPr>
              <w:jc w:val="cente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F03</w:t>
            </w: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continue"/>
            <w:shd w:val="clear" w:color="auto" w:fill="auto"/>
          </w:tcPr>
          <w:p>
            <w:pPr>
              <w:rPr>
                <w:rFonts w:asciiTheme="minorEastAsia" w:hAnsiTheme="minorEastAsia" w:eastAsiaTheme="minorEastAsia" w:cstheme="minorEastAsia"/>
              </w:rPr>
            </w:pP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B4</w:t>
            </w:r>
          </w:p>
        </w:tc>
        <w:tc>
          <w:tcPr>
            <w:tcW w:w="1157" w:type="dxa"/>
            <w:shd w:val="clear" w:color="auto" w:fill="auto"/>
            <w:vAlign w:val="center"/>
          </w:tcPr>
          <w:p>
            <w:pPr>
              <w:jc w:val="cente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rPr>
              <w:t>F04</w:t>
            </w: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continue"/>
            <w:shd w:val="clear" w:color="auto" w:fill="auto"/>
          </w:tcPr>
          <w:p>
            <w:pPr>
              <w:rPr>
                <w:rFonts w:asciiTheme="minorEastAsia" w:hAnsiTheme="minorEastAsia" w:eastAsiaTheme="minorEastAsia" w:cstheme="minorEastAsia"/>
              </w:rPr>
            </w:pP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p>
        </w:tc>
        <w:tc>
          <w:tcPr>
            <w:tcW w:w="1157" w:type="dxa"/>
            <w:shd w:val="clear" w:color="auto" w:fill="auto"/>
            <w:vAlign w:val="center"/>
          </w:tcPr>
          <w:p>
            <w:pPr>
              <w:jc w:val="center"/>
              <w:rPr>
                <w:rFonts w:asciiTheme="minorEastAsia" w:hAnsiTheme="minorEastAsia" w:eastAsiaTheme="minorEastAsia" w:cstheme="minorEastAsia"/>
              </w:rPr>
            </w:pPr>
          </w:p>
        </w:tc>
        <w:tc>
          <w:tcPr>
            <w:tcW w:w="1301" w:type="dxa"/>
            <w:shd w:val="clear" w:color="auto" w:fill="auto"/>
            <w:vAlign w:val="center"/>
          </w:tcPr>
          <w:p>
            <w:pPr>
              <w:jc w:val="center"/>
              <w:rPr>
                <w:rFonts w:asciiTheme="minorEastAsia" w:hAnsiTheme="minorEastAsia" w:eastAsiaTheme="minorEastAsia" w:cstheme="minorEastAsia"/>
              </w:rPr>
            </w:pP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888" w:type="dxa"/>
            <w:shd w:val="clear" w:color="auto" w:fill="auto"/>
          </w:tcPr>
          <w:p>
            <w:pPr>
              <w:rPr>
                <w:rFonts w:asciiTheme="minorEastAsia" w:hAnsiTheme="minorEastAsia" w:eastAsiaTheme="minorEastAsia" w:cstheme="minorEastAsia"/>
              </w:rPr>
            </w:pPr>
          </w:p>
        </w:tc>
        <w:tc>
          <w:tcPr>
            <w:tcW w:w="625" w:type="dxa"/>
            <w:vMerge w:val="continue"/>
            <w:shd w:val="clear" w:color="auto" w:fill="auto"/>
          </w:tcPr>
          <w:p>
            <w:pPr>
              <w:rPr>
                <w:rFonts w:asciiTheme="minorEastAsia" w:hAnsiTheme="minorEastAsia" w:eastAsiaTheme="minorEastAsia" w:cstheme="minorEastAsia"/>
              </w:rPr>
            </w:pPr>
          </w:p>
        </w:tc>
        <w:tc>
          <w:tcPr>
            <w:tcW w:w="939" w:type="dxa"/>
            <w:shd w:val="clear" w:color="auto" w:fill="auto"/>
          </w:tcPr>
          <w:p>
            <w:pPr>
              <w:rPr>
                <w:rFonts w:asciiTheme="minorEastAsia" w:hAnsiTheme="minorEastAsia" w:eastAsiaTheme="minorEastAsia" w:cstheme="minorEastAsia"/>
              </w:rPr>
            </w:pPr>
          </w:p>
        </w:tc>
        <w:tc>
          <w:tcPr>
            <w:tcW w:w="1301" w:type="dxa"/>
            <w:shd w:val="clear" w:color="auto" w:fill="auto"/>
          </w:tcPr>
          <w:p>
            <w:pPr>
              <w:rPr>
                <w:rFonts w:asciiTheme="minorEastAsia" w:hAnsiTheme="minorEastAsia" w:eastAsiaTheme="minorEastAsia" w:cstheme="minorEastAsia"/>
              </w:rPr>
            </w:pPr>
          </w:p>
        </w:tc>
        <w:tc>
          <w:tcPr>
            <w:tcW w:w="1157" w:type="dxa"/>
            <w:shd w:val="clear" w:color="auto" w:fill="auto"/>
          </w:tcPr>
          <w:p>
            <w:pPr>
              <w:rPr>
                <w:rFonts w:asciiTheme="minorEastAsia" w:hAnsiTheme="minorEastAsia" w:eastAsiaTheme="minorEastAsia" w:cstheme="minorEastAsia"/>
              </w:rPr>
            </w:pPr>
          </w:p>
        </w:tc>
        <w:tc>
          <w:tcPr>
            <w:tcW w:w="1301" w:type="dxa"/>
            <w:shd w:val="clear" w:color="auto" w:fill="auto"/>
          </w:tcPr>
          <w:p>
            <w:pPr>
              <w:rPr>
                <w:rFonts w:asciiTheme="minorEastAsia" w:hAnsiTheme="minorEastAsia" w:eastAsiaTheme="minorEastAsia" w:cstheme="minorEastAsia"/>
              </w:rPr>
            </w:pP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2452" w:type="dxa"/>
            <w:gridSpan w:val="3"/>
            <w:shd w:val="clear" w:color="auto" w:fill="auto"/>
          </w:tcPr>
          <w:p>
            <w:pPr>
              <w:rPr>
                <w:rFonts w:asciiTheme="minorEastAsia" w:hAnsiTheme="minorEastAsia" w:eastAsiaTheme="minorEastAsia" w:cstheme="minorEastAsia"/>
              </w:rPr>
            </w:pPr>
            <w:r>
              <w:rPr>
                <w:rFonts w:hint="eastAsia" w:asciiTheme="minorEastAsia" w:hAnsiTheme="minorEastAsia" w:eastAsiaTheme="minorEastAsia" w:cstheme="minorEastAsia"/>
              </w:rPr>
              <w:t>定值部分权重A</w:t>
            </w:r>
          </w:p>
        </w:tc>
        <w:tc>
          <w:tcPr>
            <w:tcW w:w="1301" w:type="dxa"/>
            <w:shd w:val="clear" w:color="auto" w:fill="auto"/>
          </w:tcPr>
          <w:p>
            <w:pPr>
              <w:rPr>
                <w:rFonts w:asciiTheme="minorEastAsia" w:hAnsiTheme="minorEastAsia" w:eastAsiaTheme="minorEastAsia" w:cstheme="minorEastAsia"/>
              </w:rPr>
            </w:pPr>
          </w:p>
        </w:tc>
        <w:tc>
          <w:tcPr>
            <w:tcW w:w="1157" w:type="dxa"/>
            <w:shd w:val="clear" w:color="auto" w:fill="auto"/>
          </w:tcPr>
          <w:p>
            <w:pPr>
              <w:rPr>
                <w:rFonts w:asciiTheme="minorEastAsia" w:hAnsiTheme="minorEastAsia" w:eastAsiaTheme="minorEastAsia" w:cstheme="minorEastAsia"/>
              </w:rPr>
            </w:pPr>
          </w:p>
        </w:tc>
        <w:tc>
          <w:tcPr>
            <w:tcW w:w="1301" w:type="dxa"/>
            <w:shd w:val="clear" w:color="auto" w:fill="auto"/>
          </w:tcPr>
          <w:p>
            <w:pPr>
              <w:rPr>
                <w:rFonts w:asciiTheme="minorEastAsia" w:hAnsiTheme="minorEastAsia" w:eastAsiaTheme="minorEastAsia" w:cstheme="minorEastAsia"/>
              </w:rPr>
            </w:pPr>
          </w:p>
        </w:tc>
        <w:tc>
          <w:tcPr>
            <w:tcW w:w="1318" w:type="dxa"/>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452" w:type="dxa"/>
            <w:gridSpan w:val="3"/>
            <w:shd w:val="clear" w:color="auto" w:fill="auto"/>
          </w:tcPr>
          <w:p>
            <w:pPr>
              <w:rPr>
                <w:rFonts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458" w:type="dxa"/>
            <w:gridSpan w:val="2"/>
            <w:shd w:val="clear" w:color="auto" w:fill="auto"/>
          </w:tcPr>
          <w:p>
            <w:pPr>
              <w:rPr>
                <w:rFonts w:asciiTheme="minorEastAsia" w:hAnsiTheme="minorEastAsia" w:eastAsiaTheme="minorEastAsia" w:cstheme="minorEastAsia"/>
              </w:rPr>
            </w:pPr>
          </w:p>
        </w:tc>
        <w:tc>
          <w:tcPr>
            <w:tcW w:w="2619" w:type="dxa"/>
            <w:gridSpan w:val="2"/>
            <w:shd w:val="clear" w:color="auto" w:fill="auto"/>
          </w:tcPr>
          <w:p>
            <w:pPr>
              <w:rPr>
                <w:rFonts w:asciiTheme="minorEastAsia" w:hAnsiTheme="minorEastAsia" w:eastAsiaTheme="minorEastAsia" w:cstheme="minorEastAsia"/>
              </w:rPr>
            </w:pPr>
          </w:p>
        </w:tc>
        <w:tc>
          <w:tcPr>
            <w:tcW w:w="1478" w:type="dxa"/>
            <w:shd w:val="clear" w:color="auto" w:fill="auto"/>
          </w:tcPr>
          <w:p>
            <w:pPr>
              <w:rPr>
                <w:rFonts w:asciiTheme="minorEastAsia" w:hAnsiTheme="minorEastAsia" w:eastAsiaTheme="minorEastAsia" w:cstheme="minorEastAsia"/>
              </w:rPr>
            </w:pPr>
          </w:p>
        </w:tc>
      </w:tr>
    </w:tbl>
    <w:p>
      <w:pPr>
        <w:rPr>
          <w:rFonts w:asciiTheme="minorEastAsia" w:hAnsiTheme="minorEastAsia" w:eastAsiaTheme="minorEastAsia" w:cstheme="minorEastAsia"/>
        </w:rPr>
        <w:sectPr>
          <w:headerReference r:id="rId7" w:type="default"/>
          <w:footerReference r:id="rId8" w:type="default"/>
          <w:pgSz w:w="11910" w:h="16850"/>
          <w:pgMar w:top="1440" w:right="1803" w:bottom="1440" w:left="1803" w:header="0" w:footer="996" w:gutter="0"/>
          <w:cols w:space="720" w:num="1"/>
        </w:sectPr>
      </w:pPr>
    </w:p>
    <w:bookmarkEnd w:id="341"/>
    <w:bookmarkEnd w:id="342"/>
    <w:bookmarkEnd w:id="343"/>
    <w:bookmarkEnd w:id="344"/>
    <w:bookmarkEnd w:id="345"/>
    <w:bookmarkEnd w:id="346"/>
    <w:bookmarkEnd w:id="347"/>
    <w:bookmarkEnd w:id="350"/>
    <w:p>
      <w:pPr>
        <w:pStyle w:val="5"/>
        <w:numPr>
          <w:ilvl w:val="0"/>
          <w:numId w:val="4"/>
        </w:numPr>
        <w:spacing w:before="0" w:line="360" w:lineRule="auto"/>
        <w:ind w:left="0"/>
        <w:jc w:val="center"/>
        <w:rPr>
          <w:rFonts w:asciiTheme="minorEastAsia" w:hAnsiTheme="minorEastAsia" w:eastAsiaTheme="minorEastAsia" w:cstheme="minorEastAsia"/>
          <w:sz w:val="32"/>
          <w:szCs w:val="32"/>
        </w:rPr>
      </w:pPr>
      <w:bookmarkStart w:id="1452" w:name="_Toc22511"/>
      <w:bookmarkStart w:id="1453" w:name="_Toc283128987"/>
      <w:bookmarkStart w:id="1454" w:name="_Toc498286133"/>
      <w:bookmarkStart w:id="1455" w:name="_Toc6818"/>
      <w:bookmarkStart w:id="1456" w:name="_Toc282973180"/>
      <w:bookmarkStart w:id="1457" w:name="_Toc498286090"/>
      <w:r>
        <w:rPr>
          <w:rFonts w:hint="eastAsia" w:asciiTheme="minorEastAsia" w:hAnsiTheme="minorEastAsia" w:eastAsiaTheme="minorEastAsia" w:cstheme="minorEastAsia"/>
          <w:sz w:val="32"/>
          <w:szCs w:val="32"/>
        </w:rPr>
        <w:t>发包人要求</w:t>
      </w:r>
      <w:bookmarkEnd w:id="1452"/>
    </w:p>
    <w:p>
      <w:pPr>
        <w:spacing w:before="240" w:beforeLines="100" w:after="240" w:afterLines="100" w:line="360" w:lineRule="auto"/>
        <w:jc w:val="center"/>
        <w:outlineLvl w:val="0"/>
        <w:rPr>
          <w:rFonts w:asciiTheme="minorEastAsia" w:hAnsiTheme="minorEastAsia" w:eastAsiaTheme="minorEastAsia" w:cstheme="minorEastAsia"/>
          <w:b/>
          <w:bCs/>
          <w:sz w:val="32"/>
          <w:szCs w:val="32"/>
        </w:rPr>
      </w:pPr>
    </w:p>
    <w:p>
      <w:pPr>
        <w:spacing w:line="360" w:lineRule="auto"/>
        <w:outlineLvl w:val="1"/>
      </w:pPr>
      <w:r>
        <w:rPr>
          <w:rFonts w:hint="eastAsia"/>
        </w:rPr>
        <w:t xml:space="preserve"> 招标人推荐品牌</w:t>
      </w:r>
    </w:p>
    <w:p>
      <w:pPr>
        <w:spacing w:before="20" w:after="20" w:line="540" w:lineRule="exact"/>
        <w:jc w:val="center"/>
        <w:outlineLvl w:val="0"/>
        <w:rPr>
          <w:sz w:val="24"/>
        </w:rPr>
      </w:pPr>
      <w:bookmarkStart w:id="1458" w:name="_Toc929"/>
      <w:bookmarkStart w:id="1459" w:name="_Toc19422"/>
      <w:r>
        <w:rPr>
          <w:rFonts w:hint="eastAsia"/>
          <w:b/>
          <w:szCs w:val="21"/>
        </w:rPr>
        <w:t>品牌推荐表（如要求）</w:t>
      </w:r>
      <w:bookmarkEnd w:id="1458"/>
      <w:bookmarkEnd w:id="1459"/>
    </w:p>
    <w:tbl>
      <w:tblPr>
        <w:tblStyle w:val="47"/>
        <w:tblW w:w="9175" w:type="dxa"/>
        <w:jc w:val="center"/>
        <w:tblInd w:w="0" w:type="dxa"/>
        <w:tblLayout w:type="fixed"/>
        <w:tblCellMar>
          <w:top w:w="0" w:type="dxa"/>
          <w:left w:w="108" w:type="dxa"/>
          <w:bottom w:w="0" w:type="dxa"/>
          <w:right w:w="108" w:type="dxa"/>
        </w:tblCellMar>
      </w:tblPr>
      <w:tblGrid>
        <w:gridCol w:w="675"/>
        <w:gridCol w:w="2149"/>
        <w:gridCol w:w="1323"/>
        <w:gridCol w:w="1323"/>
        <w:gridCol w:w="1323"/>
        <w:gridCol w:w="1323"/>
        <w:gridCol w:w="1059"/>
      </w:tblGrid>
      <w:tr>
        <w:tblPrEx>
          <w:tblLayout w:type="fixed"/>
          <w:tblCellMar>
            <w:top w:w="0" w:type="dxa"/>
            <w:left w:w="108" w:type="dxa"/>
            <w:bottom w:w="0" w:type="dxa"/>
            <w:right w:w="108" w:type="dxa"/>
          </w:tblCellMar>
        </w:tblPrEx>
        <w:trPr>
          <w:trHeight w:val="46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rPr>
                <w:b/>
                <w:bCs/>
                <w:szCs w:val="21"/>
              </w:rPr>
            </w:pPr>
            <w:r>
              <w:rPr>
                <w:rFonts w:hint="eastAsia"/>
                <w:b/>
                <w:bCs/>
                <w:szCs w:val="21"/>
              </w:rPr>
              <w:t>序号</w:t>
            </w:r>
          </w:p>
        </w:tc>
        <w:tc>
          <w:tcPr>
            <w:tcW w:w="2149"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材料、设备名称</w:t>
            </w:r>
          </w:p>
        </w:tc>
        <w:tc>
          <w:tcPr>
            <w:tcW w:w="1323"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品牌1</w:t>
            </w:r>
          </w:p>
        </w:tc>
        <w:tc>
          <w:tcPr>
            <w:tcW w:w="1323"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品牌2</w:t>
            </w:r>
          </w:p>
        </w:tc>
        <w:tc>
          <w:tcPr>
            <w:tcW w:w="1323"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品牌3</w:t>
            </w:r>
          </w:p>
        </w:tc>
        <w:tc>
          <w:tcPr>
            <w:tcW w:w="1323"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品牌4</w:t>
            </w:r>
          </w:p>
        </w:tc>
        <w:tc>
          <w:tcPr>
            <w:tcW w:w="1059" w:type="dxa"/>
            <w:tcBorders>
              <w:top w:val="single" w:color="auto" w:sz="4" w:space="0"/>
              <w:left w:val="nil"/>
              <w:bottom w:val="single" w:color="auto" w:sz="4" w:space="0"/>
              <w:right w:val="single" w:color="auto" w:sz="4" w:space="0"/>
            </w:tcBorders>
            <w:vAlign w:val="center"/>
          </w:tcPr>
          <w:p>
            <w:pPr>
              <w:widowControl/>
              <w:jc w:val="center"/>
              <w:rPr>
                <w:b/>
                <w:bCs/>
                <w:szCs w:val="21"/>
              </w:rPr>
            </w:pPr>
            <w:r>
              <w:rPr>
                <w:rFonts w:hint="eastAsia"/>
                <w:b/>
                <w:bCs/>
                <w:szCs w:val="21"/>
              </w:rPr>
              <w:t>备注</w:t>
            </w: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1</w:t>
            </w:r>
          </w:p>
        </w:tc>
        <w:tc>
          <w:tcPr>
            <w:tcW w:w="2149" w:type="dxa"/>
            <w:tcBorders>
              <w:top w:val="nil"/>
              <w:left w:val="nil"/>
              <w:bottom w:val="single" w:color="auto" w:sz="4" w:space="0"/>
              <w:right w:val="single" w:color="auto" w:sz="4" w:space="0"/>
            </w:tcBorders>
            <w:vAlign w:val="center"/>
          </w:tcPr>
          <w:p>
            <w:pPr>
              <w:widowControl/>
              <w:jc w:val="center"/>
              <w:rPr>
                <w:szCs w:val="21"/>
                <w:lang w:val="en-US"/>
              </w:rPr>
            </w:pPr>
          </w:p>
        </w:tc>
        <w:tc>
          <w:tcPr>
            <w:tcW w:w="1323" w:type="dxa"/>
            <w:tcBorders>
              <w:top w:val="single" w:color="auto" w:sz="4" w:space="0"/>
              <w:left w:val="nil"/>
              <w:bottom w:val="single" w:color="auto" w:sz="4" w:space="0"/>
              <w:right w:val="single" w:color="auto" w:sz="4" w:space="0"/>
            </w:tcBorders>
            <w:vAlign w:val="center"/>
          </w:tcPr>
          <w:p>
            <w:pPr>
              <w:jc w:val="center"/>
              <w:rPr>
                <w:lang w:val="en-US"/>
              </w:rPr>
            </w:pPr>
          </w:p>
        </w:tc>
        <w:tc>
          <w:tcPr>
            <w:tcW w:w="1323" w:type="dxa"/>
            <w:tcBorders>
              <w:top w:val="single" w:color="auto" w:sz="4" w:space="0"/>
              <w:left w:val="nil"/>
              <w:bottom w:val="single" w:color="auto" w:sz="4" w:space="0"/>
              <w:right w:val="single" w:color="auto" w:sz="4" w:space="0"/>
            </w:tcBorders>
            <w:vAlign w:val="center"/>
          </w:tcPr>
          <w:p>
            <w:pPr>
              <w:jc w:val="center"/>
              <w:rPr>
                <w:lang w:val="en-US"/>
              </w:rPr>
            </w:pPr>
          </w:p>
        </w:tc>
        <w:tc>
          <w:tcPr>
            <w:tcW w:w="1323" w:type="dxa"/>
            <w:tcBorders>
              <w:top w:val="single" w:color="auto" w:sz="4" w:space="0"/>
              <w:left w:val="nil"/>
              <w:bottom w:val="single" w:color="auto" w:sz="4" w:space="0"/>
              <w:right w:val="single" w:color="auto" w:sz="4" w:space="0"/>
            </w:tcBorders>
            <w:vAlign w:val="center"/>
          </w:tcPr>
          <w:p>
            <w:pPr>
              <w:jc w:val="center"/>
              <w:rPr>
                <w:lang w:val="en-US"/>
              </w:rPr>
            </w:pPr>
          </w:p>
        </w:tc>
        <w:tc>
          <w:tcPr>
            <w:tcW w:w="1323" w:type="dxa"/>
            <w:tcBorders>
              <w:top w:val="single" w:color="auto" w:sz="4" w:space="0"/>
              <w:left w:val="nil"/>
              <w:bottom w:val="single" w:color="auto" w:sz="4" w:space="0"/>
              <w:right w:val="single" w:color="auto" w:sz="4" w:space="0"/>
            </w:tcBorders>
            <w:vAlign w:val="center"/>
          </w:tcPr>
          <w:p>
            <w:pPr>
              <w:jc w:val="center"/>
              <w:rPr>
                <w:lang w:val="en-US"/>
              </w:rPr>
            </w:pPr>
          </w:p>
        </w:tc>
        <w:tc>
          <w:tcPr>
            <w:tcW w:w="1059" w:type="dxa"/>
            <w:tcBorders>
              <w:top w:val="nil"/>
              <w:left w:val="nil"/>
              <w:bottom w:val="single" w:color="auto" w:sz="4" w:space="0"/>
              <w:right w:val="single" w:color="auto" w:sz="4" w:space="0"/>
            </w:tcBorders>
            <w:vAlign w:val="center"/>
          </w:tcPr>
          <w:p>
            <w:pPr>
              <w:widowControl/>
              <w:jc w:val="center"/>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2</w:t>
            </w: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3</w:t>
            </w: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4</w:t>
            </w: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5</w:t>
            </w: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r>
              <w:rPr>
                <w:rFonts w:hint="eastAsia"/>
                <w:szCs w:val="21"/>
              </w:rPr>
              <w:t>6</w:t>
            </w: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r>
        <w:tblPrEx>
          <w:tblLayout w:type="fixed"/>
          <w:tblCellMar>
            <w:top w:w="0" w:type="dxa"/>
            <w:left w:w="108" w:type="dxa"/>
            <w:bottom w:w="0" w:type="dxa"/>
            <w:right w:w="108" w:type="dxa"/>
          </w:tblCellMar>
        </w:tblPrEx>
        <w:trPr>
          <w:trHeight w:val="487"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szCs w:val="21"/>
              </w:rPr>
            </w:pPr>
          </w:p>
        </w:tc>
        <w:tc>
          <w:tcPr>
            <w:tcW w:w="2149" w:type="dxa"/>
            <w:tcBorders>
              <w:top w:val="nil"/>
              <w:left w:val="nil"/>
              <w:bottom w:val="single" w:color="auto" w:sz="4" w:space="0"/>
              <w:right w:val="single" w:color="auto" w:sz="4" w:space="0"/>
            </w:tcBorders>
            <w:vAlign w:val="center"/>
          </w:tcPr>
          <w:p>
            <w:pPr>
              <w:widowControl/>
              <w:rPr>
                <w:szCs w:val="21"/>
              </w:rPr>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323" w:type="dxa"/>
            <w:tcBorders>
              <w:top w:val="single" w:color="auto" w:sz="4" w:space="0"/>
              <w:left w:val="nil"/>
              <w:bottom w:val="single" w:color="auto" w:sz="4" w:space="0"/>
              <w:right w:val="single" w:color="auto" w:sz="4" w:space="0"/>
            </w:tcBorders>
            <w:vAlign w:val="center"/>
          </w:tcPr>
          <w:p>
            <w:pPr/>
          </w:p>
        </w:tc>
        <w:tc>
          <w:tcPr>
            <w:tcW w:w="1059" w:type="dxa"/>
            <w:tcBorders>
              <w:top w:val="nil"/>
              <w:left w:val="nil"/>
              <w:bottom w:val="single" w:color="auto" w:sz="4" w:space="0"/>
              <w:right w:val="single" w:color="auto" w:sz="4" w:space="0"/>
            </w:tcBorders>
            <w:vAlign w:val="center"/>
          </w:tcPr>
          <w:p>
            <w:pPr>
              <w:widowControl/>
              <w:rPr>
                <w:szCs w:val="21"/>
              </w:rPr>
            </w:pPr>
          </w:p>
        </w:tc>
      </w:tr>
    </w:tbl>
    <w:p>
      <w:pPr>
        <w:pStyle w:val="2"/>
        <w:sectPr>
          <w:pgSz w:w="11910" w:h="16850"/>
          <w:pgMar w:top="1440" w:right="1803" w:bottom="1440" w:left="1803" w:header="0" w:footer="996" w:gutter="0"/>
          <w:cols w:space="720" w:num="1"/>
        </w:sectPr>
      </w:pPr>
    </w:p>
    <w:p>
      <w:pPr>
        <w:pStyle w:val="5"/>
        <w:numPr>
          <w:ilvl w:val="0"/>
          <w:numId w:val="4"/>
        </w:numPr>
        <w:spacing w:before="0" w:line="360" w:lineRule="auto"/>
        <w:ind w:left="0"/>
        <w:jc w:val="center"/>
        <w:rPr>
          <w:rFonts w:asciiTheme="minorEastAsia" w:hAnsiTheme="minorEastAsia" w:eastAsiaTheme="minorEastAsia" w:cstheme="minorEastAsia"/>
          <w:sz w:val="32"/>
          <w:szCs w:val="32"/>
        </w:rPr>
      </w:pPr>
      <w:bookmarkStart w:id="1460" w:name="_Toc16196"/>
      <w:r>
        <w:rPr>
          <w:rFonts w:hint="eastAsia" w:asciiTheme="minorEastAsia" w:hAnsiTheme="minorEastAsia" w:eastAsiaTheme="minorEastAsia" w:cstheme="minorEastAsia"/>
          <w:sz w:val="32"/>
          <w:szCs w:val="32"/>
        </w:rPr>
        <w:t>投标文件格式</w:t>
      </w:r>
      <w:bookmarkEnd w:id="1453"/>
      <w:bookmarkEnd w:id="1454"/>
      <w:bookmarkEnd w:id="1455"/>
      <w:bookmarkEnd w:id="1456"/>
      <w:bookmarkEnd w:id="1457"/>
      <w:bookmarkEnd w:id="1460"/>
    </w:p>
    <w:p>
      <w:pPr>
        <w:spacing w:line="360" w:lineRule="auto"/>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1"/>
          <w:szCs w:val="21"/>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w:t>
      </w:r>
    </w:p>
    <w:p>
      <w:pPr>
        <w:pStyle w:val="2"/>
        <w:rPr>
          <w:rFonts w:asciiTheme="minorEastAsia" w:hAnsiTheme="minorEastAsia" w:eastAsiaTheme="minorEastAsia" w:cstheme="minorEastAsia"/>
        </w:rPr>
      </w:pPr>
    </w:p>
    <w:p>
      <w:pPr>
        <w:rPr>
          <w:rFonts w:asciiTheme="minorEastAsia" w:hAnsiTheme="minorEastAsia" w:eastAsiaTheme="minorEastAsia" w:cstheme="minorEastAsia"/>
          <w:sz w:val="20"/>
          <w:szCs w:val="20"/>
        </w:rPr>
      </w:pPr>
    </w:p>
    <w:p>
      <w:pPr>
        <w:rPr>
          <w:rFonts w:asciiTheme="minorEastAsia" w:hAnsiTheme="minorEastAsia" w:eastAsiaTheme="minorEastAsia" w:cstheme="minorEastAsia"/>
          <w:sz w:val="20"/>
          <w:szCs w:val="20"/>
        </w:rPr>
      </w:pPr>
    </w:p>
    <w:p>
      <w:pPr>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投  标  文  件</w:t>
      </w:r>
    </w:p>
    <w:p>
      <w:pP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（资格标/技术和商务标）</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2"/>
      </w:pPr>
    </w:p>
    <w:p>
      <w:pPr>
        <w:pStyle w:val="2"/>
      </w:pPr>
    </w:p>
    <w:p>
      <w:pPr>
        <w:pStyle w:val="2"/>
      </w:pPr>
    </w:p>
    <w:p>
      <w:pPr>
        <w:pStyle w:val="2"/>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（盖单位章）</w:t>
      </w:r>
    </w:p>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法定代表人或其委托代理人：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签字或盖章</w:t>
      </w:r>
      <w:r>
        <w:rPr>
          <w:rFonts w:hint="eastAsia" w:asciiTheme="minorEastAsia" w:hAnsiTheme="minorEastAsia" w:eastAsiaTheme="minorEastAsia" w:cstheme="minorEastAsia"/>
          <w:sz w:val="28"/>
          <w:szCs w:val="28"/>
        </w:rPr>
        <w:t>）</w:t>
      </w:r>
    </w:p>
    <w:p>
      <w:pPr>
        <w:pStyle w:val="2"/>
        <w:rPr>
          <w:rFonts w:asciiTheme="minorEastAsia" w:hAnsiTheme="minorEastAsia" w:eastAsiaTheme="minorEastAsia" w:cstheme="minorEastAsia"/>
        </w:rPr>
      </w:pP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pStyle w:val="2"/>
        <w:rPr>
          <w:rFonts w:asciiTheme="minorEastAsia" w:hAnsiTheme="minorEastAsia" w:eastAsiaTheme="minorEastAsia" w:cstheme="minorEastAsia"/>
          <w:szCs w:val="21"/>
        </w:rPr>
      </w:pPr>
    </w:p>
    <w:p>
      <w:pPr>
        <w:pStyle w:val="2"/>
        <w:rPr>
          <w:rFonts w:asciiTheme="minorEastAsia" w:hAnsiTheme="minorEastAsia" w:eastAsiaTheme="minorEastAsia" w:cstheme="minorEastAsia"/>
          <w:szCs w:val="21"/>
        </w:rPr>
      </w:pPr>
    </w:p>
    <w:p>
      <w:pPr>
        <w:pStyle w:val="2"/>
        <w:rPr>
          <w:rFonts w:asciiTheme="minorEastAsia" w:hAnsiTheme="minorEastAsia" w:eastAsiaTheme="minorEastAsia" w:cstheme="minorEastAsia"/>
          <w:szCs w:val="21"/>
        </w:rPr>
      </w:pPr>
    </w:p>
    <w:p>
      <w:pPr>
        <w:spacing w:line="440" w:lineRule="exact"/>
        <w:ind w:firstLine="440" w:firstLineChars="200"/>
        <w:rPr>
          <w:rFonts w:asciiTheme="minorEastAsia" w:hAnsiTheme="minorEastAsia" w:eastAsiaTheme="minorEastAsia" w:cstheme="minorEastAsia"/>
          <w:szCs w:val="21"/>
        </w:rPr>
        <w:sectPr>
          <w:pgSz w:w="11910" w:h="16850"/>
          <w:pgMar w:top="1440" w:right="1803" w:bottom="1440" w:left="1803" w:header="0" w:footer="996" w:gutter="0"/>
          <w:cols w:space="720" w:num="1"/>
          <w:docGrid w:linePitch="299" w:charSpace="0"/>
        </w:sectPr>
      </w:pPr>
    </w:p>
    <w:p>
      <w:pPr>
        <w:pStyle w:val="6"/>
        <w:spacing w:line="360" w:lineRule="auto"/>
        <w:ind w:left="0" w:firstLine="0"/>
        <w:jc w:val="center"/>
        <w:rPr>
          <w:rFonts w:asciiTheme="minorEastAsia" w:hAnsiTheme="minorEastAsia" w:eastAsiaTheme="minorEastAsia" w:cstheme="minorEastAsia"/>
          <w:b/>
          <w:bCs/>
          <w:sz w:val="28"/>
          <w:szCs w:val="21"/>
        </w:rPr>
      </w:pPr>
      <w:bookmarkStart w:id="1461" w:name="_Toc144974857"/>
      <w:bookmarkStart w:id="1462" w:name="_Toc498286135"/>
      <w:bookmarkStart w:id="1463" w:name="_Toc152045788"/>
      <w:bookmarkStart w:id="1464" w:name="_Toc247527828"/>
      <w:bookmarkStart w:id="1465" w:name="_Toc492365077"/>
      <w:bookmarkStart w:id="1466" w:name="_Toc113958625"/>
      <w:bookmarkStart w:id="1467" w:name="_Toc30685"/>
      <w:bookmarkStart w:id="1468" w:name="_Toc1309"/>
      <w:bookmarkStart w:id="1469" w:name="_Toc247514247"/>
      <w:bookmarkStart w:id="1470" w:name="_Toc152042577"/>
      <w:r>
        <w:rPr>
          <w:rFonts w:hint="eastAsia" w:asciiTheme="minorEastAsia" w:hAnsiTheme="minorEastAsia" w:eastAsiaTheme="minorEastAsia" w:cstheme="minorEastAsia"/>
          <w:b/>
          <w:bCs/>
          <w:sz w:val="28"/>
          <w:szCs w:val="21"/>
        </w:rPr>
        <w:t>一、投标函及投标函附录</w:t>
      </w:r>
      <w:bookmarkEnd w:id="1461"/>
      <w:bookmarkEnd w:id="1462"/>
      <w:bookmarkEnd w:id="1463"/>
      <w:bookmarkEnd w:id="1464"/>
      <w:bookmarkEnd w:id="1465"/>
      <w:bookmarkEnd w:id="1466"/>
      <w:bookmarkEnd w:id="1467"/>
      <w:bookmarkEnd w:id="1468"/>
      <w:bookmarkEnd w:id="1469"/>
      <w:bookmarkEnd w:id="1470"/>
    </w:p>
    <w:p>
      <w:pPr>
        <w:pStyle w:val="7"/>
        <w:spacing w:line="360" w:lineRule="auto"/>
        <w:jc w:val="center"/>
        <w:rPr>
          <w:rFonts w:asciiTheme="minorEastAsia" w:hAnsiTheme="minorEastAsia" w:eastAsiaTheme="minorEastAsia" w:cstheme="minorEastAsia"/>
          <w:sz w:val="24"/>
        </w:rPr>
      </w:pPr>
      <w:bookmarkStart w:id="1471" w:name="_Toc1528"/>
      <w:bookmarkStart w:id="1472" w:name="_Toc504566200"/>
      <w:bookmarkStart w:id="1473" w:name="_Toc152045789"/>
      <w:bookmarkStart w:id="1474" w:name="_Toc247527829"/>
      <w:bookmarkStart w:id="1475" w:name="_Toc247514248"/>
      <w:bookmarkStart w:id="1476" w:name="_Toc152042578"/>
      <w:bookmarkStart w:id="1477" w:name="_Toc113958626"/>
      <w:bookmarkStart w:id="1478" w:name="_Toc144974858"/>
      <w:r>
        <w:rPr>
          <w:rFonts w:hint="eastAsia" w:asciiTheme="minorEastAsia" w:hAnsiTheme="minorEastAsia" w:eastAsiaTheme="minorEastAsia" w:cstheme="minorEastAsia"/>
          <w:sz w:val="24"/>
        </w:rPr>
        <w:t>（一）投标函</w:t>
      </w:r>
      <w:bookmarkEnd w:id="1471"/>
      <w:bookmarkEnd w:id="1472"/>
      <w:bookmarkEnd w:id="1473"/>
      <w:bookmarkEnd w:id="1474"/>
      <w:bookmarkEnd w:id="1475"/>
      <w:bookmarkEnd w:id="1476"/>
      <w:bookmarkEnd w:id="1477"/>
      <w:bookmarkEnd w:id="1478"/>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（招标人名称）</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numPr>
          <w:ilvl w:val="0"/>
          <w:numId w:val="19"/>
        </w:numPr>
        <w:spacing w:line="360" w:lineRule="auto"/>
        <w:ind w:firstLine="420"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我方已仔细研究了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（项目名称）招标文件的全部内容，愿意</w:t>
      </w:r>
      <w:r>
        <w:rPr>
          <w:rFonts w:hint="eastAsia" w:asciiTheme="minorEastAsia" w:hAnsiTheme="minorEastAsia" w:eastAsiaTheme="minorEastAsia" w:cstheme="minorEastAsia"/>
          <w:sz w:val="21"/>
          <w:szCs w:val="21"/>
          <w:lang w:val="en-US"/>
        </w:rPr>
        <w:t>设计费</w:t>
      </w:r>
      <w:r>
        <w:rPr>
          <w:rFonts w:hint="eastAsia" w:asciiTheme="minorEastAsia" w:hAnsiTheme="minorEastAsia" w:eastAsiaTheme="minorEastAsia" w:cstheme="minorEastAsia"/>
          <w:sz w:val="21"/>
          <w:szCs w:val="21"/>
        </w:rPr>
        <w:t>以初步设计批复工程建设总投资为计费基数</w:t>
      </w:r>
      <w:r>
        <w:rPr>
          <w:rFonts w:hint="eastAsia" w:asciiTheme="minorEastAsia" w:hAnsiTheme="minorEastAsia" w:eastAsiaTheme="minorEastAsia" w:cstheme="minorEastAsia"/>
          <w:sz w:val="21"/>
          <w:szCs w:val="21"/>
          <w:lang w:val="en-US"/>
        </w:rPr>
        <w:t>按照</w:t>
      </w:r>
      <w:r>
        <w:rPr>
          <w:rFonts w:hint="eastAsia" w:asciiTheme="minorEastAsia" w:hAnsiTheme="minorEastAsia" w:eastAsiaTheme="minorEastAsia" w:cstheme="minorEastAsia"/>
          <w:sz w:val="21"/>
          <w:szCs w:val="21"/>
        </w:rPr>
        <w:t>《工程勘察设计收费管理规定(2002年修订本)》计算的</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%、工程建安工程费结算费率报价为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%（最多两位小数），工期</w:t>
      </w:r>
      <w:r>
        <w:rPr>
          <w:rFonts w:hint="eastAsia" w:asciiTheme="minorEastAsia" w:hAnsiTheme="minorEastAsia" w:eastAsiaTheme="minorEastAsia" w:cstheme="minorEastAsia"/>
          <w:sz w:val="21"/>
          <w:szCs w:val="21"/>
          <w:u w:val="single"/>
        </w:rPr>
        <w:t xml:space="preserve">     个</w:t>
      </w:r>
      <w:r>
        <w:rPr>
          <w:rFonts w:hint="eastAsia" w:asciiTheme="minorEastAsia" w:hAnsiTheme="minorEastAsia" w:eastAsiaTheme="minorEastAsia" w:cstheme="minorEastAsia"/>
          <w:sz w:val="21"/>
          <w:szCs w:val="21"/>
        </w:rPr>
        <w:t>日历天，质量标准</w:t>
      </w:r>
      <w:r>
        <w:rPr>
          <w:rFonts w:hint="eastAsia" w:asciiTheme="minorEastAsia" w:hAnsiTheme="minorEastAsia" w:eastAsiaTheme="minorEastAsia" w:cstheme="minorEastAsia"/>
          <w:sz w:val="21"/>
          <w:szCs w:val="21"/>
          <w:u w:val="single"/>
        </w:rPr>
        <w:t xml:space="preserve"> 符合招标文件要求  </w:t>
      </w:r>
      <w:r>
        <w:rPr>
          <w:rFonts w:hint="eastAsia" w:asciiTheme="minorEastAsia" w:hAnsiTheme="minorEastAsia" w:eastAsiaTheme="minorEastAsia" w:cstheme="minorEastAsia"/>
          <w:sz w:val="21"/>
          <w:szCs w:val="21"/>
        </w:rPr>
        <w:t>，我单位参加本项目拟派项目负责人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、拟派设计负责人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。按合同约定进行设计、实施和竣工承包工程，修补工程中的任何缺陷，实现工程目的</w:t>
      </w:r>
      <w:r>
        <w:rPr>
          <w:rFonts w:hint="eastAsia" w:asciiTheme="minorEastAsia" w:hAnsiTheme="minorEastAsia" w:eastAsiaTheme="minorEastAsia" w:cstheme="minorEastAsia"/>
          <w:b/>
          <w:sz w:val="21"/>
          <w:szCs w:val="21"/>
        </w:rPr>
        <w:t>（工期、质量标准完全响应招标文件要求）。</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2．我方承诺在招标文件规定的投标有效期内不修改、撤销投标文件。</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3．随同本投标函提交投标保证金一份，金额为人民币（大写）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4．如我方中标：</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（1）我方承诺在收到中标通知书后，在中标通知书规定的期限内与你方签订合同。</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（2）随同本投标函递交的投标函附录属于合同文件的组成部分。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（3）一旦我方中标，我方保证在规定的时间内按招标文件规定的方式、金额向招标人提交履约担保。</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（4）我方承诺在合同约定的期限内完成并移交全部合同工程。</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（5）一旦我方中标，我方保证在规定的时间内按招标文件规定的时间、金额向招标代理机构缴纳相关费用。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一旦我方中标，我方保证投标文件中通用条款规定的合同签订、开工时间、人员进驻、人员到岗、劳动力计划、机械设备进场时间数量、节点计划、工程进度、合同工期、违约责任条款等全部内容我方全部认可并无条件执行。</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7</w:t>
      </w:r>
      <w:r>
        <w:rPr>
          <w:rFonts w:hint="eastAsia" w:asciiTheme="minorEastAsia" w:hAnsiTheme="minorEastAsia" w:eastAsiaTheme="minorEastAsia" w:cstheme="minorEastAsia"/>
          <w:sz w:val="21"/>
          <w:szCs w:val="21"/>
        </w:rPr>
        <w:t>）一旦我方中标，我方保证用于本工程的主要材料、设备，不低于招标文件规定和投标文件承诺的合格产品，并在使用之前经建设、监理、设计单位确认后使用。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rPr>
        <w:t>）一旦我方中标，我方保证在规定的时间内由我方法定代表人亲自签订合同以及及时进场施工，并认真履行合同和其它各项承诺。</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5．我方在此声明，所递交的投标文件及有关资料内容完整、真实和准确，且不存在第二章“投标人须知”第1.4.3项和第1.4.4项规定的任何一种情形。</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（其他补充说明）。</w:t>
      </w:r>
    </w:p>
    <w:p>
      <w:pPr>
        <w:spacing w:line="360" w:lineRule="auto"/>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7. 我方保证：</w:t>
      </w:r>
    </w:p>
    <w:p>
      <w:pPr>
        <w:spacing w:line="360" w:lineRule="auto"/>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（1）、在本次投标过程中所出具的承诺书或相关材料真实有效，如与实际情况不符，则视为弄虚作假，同意不予退还我公司投标保证金，并接受相关处罚；</w:t>
      </w:r>
    </w:p>
    <w:p>
      <w:pPr>
        <w:spacing w:line="360" w:lineRule="auto"/>
        <w:ind w:firstLine="422" w:firstLineChars="2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（2）、在本次投标过程中，我公司如出现招标文件约定视为串通投标的，同意不予退还我公司投标保证金，并接受相关处罚。</w:t>
      </w:r>
    </w:p>
    <w:p>
      <w:pPr>
        <w:spacing w:line="440" w:lineRule="exact"/>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 标 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（盖单位章）</w:t>
      </w:r>
    </w:p>
    <w:p>
      <w:pPr>
        <w:spacing w:line="440" w:lineRule="exact"/>
        <w:ind w:firstLine="3780" w:firstLineChars="18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（签字或盖章）</w:t>
      </w:r>
    </w:p>
    <w:p>
      <w:pPr>
        <w:spacing w:line="440" w:lineRule="exact"/>
        <w:ind w:firstLine="3675" w:firstLineChars="1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u w:val="single"/>
        </w:rPr>
        <w:t xml:space="preserve">                                     </w:t>
      </w:r>
    </w:p>
    <w:p>
      <w:pPr>
        <w:spacing w:line="440" w:lineRule="exact"/>
        <w:ind w:firstLine="3675" w:firstLineChars="1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网址：</w:t>
      </w:r>
      <w:r>
        <w:rPr>
          <w:rFonts w:hint="eastAsia" w:asciiTheme="minorEastAsia" w:hAnsiTheme="minorEastAsia" w:eastAsiaTheme="minorEastAsia" w:cstheme="minorEastAsia"/>
          <w:sz w:val="21"/>
          <w:szCs w:val="21"/>
          <w:u w:val="single"/>
        </w:rPr>
        <w:t xml:space="preserve">                                     </w:t>
      </w:r>
    </w:p>
    <w:p>
      <w:pPr>
        <w:spacing w:line="440" w:lineRule="exact"/>
        <w:ind w:firstLine="3675" w:firstLineChars="1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u w:val="single"/>
        </w:rPr>
        <w:t xml:space="preserve">                                     </w:t>
      </w:r>
    </w:p>
    <w:p>
      <w:pPr>
        <w:spacing w:line="440" w:lineRule="exact"/>
        <w:ind w:firstLine="3675" w:firstLineChars="1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r>
        <w:rPr>
          <w:rFonts w:hint="eastAsia" w:asciiTheme="minorEastAsia" w:hAnsiTheme="minorEastAsia" w:eastAsiaTheme="minorEastAsia" w:cstheme="minorEastAsia"/>
          <w:sz w:val="21"/>
          <w:szCs w:val="21"/>
          <w:u w:val="single"/>
        </w:rPr>
        <w:t xml:space="preserve">                                     </w:t>
      </w:r>
    </w:p>
    <w:p>
      <w:pPr>
        <w:spacing w:line="440" w:lineRule="exact"/>
        <w:ind w:firstLine="3675" w:firstLineChars="1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 xml:space="preserve">                                 </w:t>
      </w:r>
    </w:p>
    <w:p>
      <w:pPr>
        <w:spacing w:line="440" w:lineRule="exact"/>
        <w:ind w:firstLine="4725" w:firstLineChars="22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ectPr>
          <w:pgSz w:w="11910" w:h="16850"/>
          <w:pgMar w:top="1440" w:right="1800" w:bottom="1440" w:left="1800" w:header="0" w:footer="996" w:gutter="0"/>
          <w:cols w:space="720" w:num="1"/>
          <w:docGrid w:linePitch="299" w:charSpace="0"/>
        </w:sectPr>
      </w:pPr>
      <w:bookmarkStart w:id="1479" w:name="_Toc152042579"/>
      <w:bookmarkStart w:id="1480" w:name="_Toc144974859"/>
      <w:bookmarkStart w:id="1481" w:name="_Toc2194"/>
      <w:bookmarkStart w:id="1482" w:name="_Toc247527830"/>
      <w:bookmarkStart w:id="1483" w:name="_Toc247514249"/>
      <w:bookmarkStart w:id="1484" w:name="_Toc152045790"/>
      <w:bookmarkStart w:id="1485" w:name="_Toc492365079"/>
    </w:p>
    <w:p>
      <w:pPr>
        <w:pStyle w:val="7"/>
        <w:spacing w:line="360" w:lineRule="auto"/>
        <w:ind w:left="0" w:firstLine="0"/>
        <w:jc w:val="center"/>
        <w:rPr>
          <w:rFonts w:asciiTheme="minorEastAsia" w:hAnsiTheme="minorEastAsia" w:eastAsiaTheme="minorEastAsia" w:cstheme="minorEastAsia"/>
          <w:sz w:val="24"/>
        </w:rPr>
      </w:pPr>
      <w:bookmarkStart w:id="1486" w:name="_Toc31333"/>
      <w:bookmarkStart w:id="1487" w:name="_Toc113958627"/>
      <w:r>
        <w:rPr>
          <w:rFonts w:hint="eastAsia" w:asciiTheme="minorEastAsia" w:hAnsiTheme="minorEastAsia" w:eastAsiaTheme="minorEastAsia" w:cstheme="minorEastAsia"/>
          <w:sz w:val="24"/>
        </w:rPr>
        <w:t>（二）投标函附录</w:t>
      </w:r>
      <w:bookmarkEnd w:id="1479"/>
      <w:bookmarkEnd w:id="1480"/>
      <w:bookmarkEnd w:id="1481"/>
      <w:bookmarkEnd w:id="1482"/>
      <w:bookmarkEnd w:id="1483"/>
      <w:bookmarkEnd w:id="1484"/>
      <w:bookmarkEnd w:id="1485"/>
      <w:bookmarkEnd w:id="1486"/>
      <w:bookmarkEnd w:id="1487"/>
    </w:p>
    <w:tbl>
      <w:tblPr>
        <w:tblStyle w:val="48"/>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506"/>
        <w:gridCol w:w="273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7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50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条款名称</w:t>
            </w:r>
          </w:p>
        </w:tc>
        <w:tc>
          <w:tcPr>
            <w:tcW w:w="2738"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约定内容</w:t>
            </w:r>
          </w:p>
        </w:tc>
        <w:tc>
          <w:tcPr>
            <w:tcW w:w="241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72" w:type="dxa"/>
            <w:vMerge w:val="restart"/>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506" w:type="dxa"/>
            <w:vMerge w:val="restart"/>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负责人</w:t>
            </w:r>
          </w:p>
        </w:tc>
        <w:tc>
          <w:tcPr>
            <w:tcW w:w="273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姓名：           </w:t>
            </w:r>
          </w:p>
        </w:tc>
        <w:tc>
          <w:tcPr>
            <w:tcW w:w="2410"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72" w:type="dxa"/>
            <w:vMerge w:val="continue"/>
            <w:vAlign w:val="center"/>
          </w:tcPr>
          <w:p>
            <w:pPr>
              <w:jc w:val="center"/>
              <w:rPr>
                <w:rFonts w:asciiTheme="minorEastAsia" w:hAnsiTheme="minorEastAsia" w:eastAsiaTheme="minorEastAsia" w:cstheme="minorEastAsia"/>
                <w:sz w:val="21"/>
                <w:szCs w:val="21"/>
              </w:rPr>
            </w:pPr>
          </w:p>
        </w:tc>
        <w:tc>
          <w:tcPr>
            <w:tcW w:w="2506" w:type="dxa"/>
            <w:vMerge w:val="continue"/>
            <w:vAlign w:val="center"/>
          </w:tcPr>
          <w:p>
            <w:pPr>
              <w:spacing w:line="440" w:lineRule="exact"/>
              <w:ind w:firstLine="718" w:firstLineChars="342"/>
              <w:rPr>
                <w:rFonts w:asciiTheme="minorEastAsia" w:hAnsiTheme="minorEastAsia" w:eastAsiaTheme="minorEastAsia" w:cstheme="minorEastAsia"/>
                <w:sz w:val="21"/>
                <w:szCs w:val="21"/>
              </w:rPr>
            </w:pPr>
          </w:p>
        </w:tc>
        <w:tc>
          <w:tcPr>
            <w:tcW w:w="273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2410"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7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50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工期</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（设计与施工合计）</w:t>
            </w:r>
          </w:p>
        </w:tc>
        <w:tc>
          <w:tcPr>
            <w:tcW w:w="2738" w:type="dxa"/>
            <w:vAlign w:val="center"/>
          </w:tcPr>
          <w:p>
            <w:pPr>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天数：</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个日历天</w:t>
            </w:r>
          </w:p>
        </w:tc>
        <w:tc>
          <w:tcPr>
            <w:tcW w:w="2410" w:type="dxa"/>
          </w:tcPr>
          <w:p>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77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50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缺陷责任期</w:t>
            </w:r>
          </w:p>
        </w:tc>
        <w:tc>
          <w:tcPr>
            <w:tcW w:w="273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响应合同约定</w:t>
            </w:r>
          </w:p>
        </w:tc>
        <w:tc>
          <w:tcPr>
            <w:tcW w:w="2410" w:type="dxa"/>
          </w:tcPr>
          <w:p>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77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50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价格调整的差额计算</w:t>
            </w:r>
          </w:p>
        </w:tc>
        <w:tc>
          <w:tcPr>
            <w:tcW w:w="273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响应合同约定</w:t>
            </w:r>
          </w:p>
        </w:tc>
        <w:tc>
          <w:tcPr>
            <w:tcW w:w="2410" w:type="dxa"/>
          </w:tcPr>
          <w:p>
            <w:pPr/>
          </w:p>
        </w:tc>
      </w:tr>
    </w:tbl>
    <w:p>
      <w:pPr/>
    </w:p>
    <w:p>
      <w:pPr>
        <w:pStyle w:val="6"/>
        <w:spacing w:line="360" w:lineRule="auto"/>
        <w:ind w:left="0" w:firstLine="0"/>
        <w:jc w:val="center"/>
        <w:rPr>
          <w:rFonts w:asciiTheme="minorEastAsia" w:hAnsiTheme="minorEastAsia" w:eastAsiaTheme="minorEastAsia" w:cstheme="minorEastAsia"/>
          <w:b/>
          <w:bCs/>
          <w:sz w:val="32"/>
          <w:szCs w:val="32"/>
        </w:rPr>
      </w:pPr>
      <w:bookmarkStart w:id="1488" w:name="_Toc152045791"/>
      <w:bookmarkStart w:id="1489" w:name="_Toc247527831"/>
      <w:bookmarkStart w:id="1490" w:name="_Toc144974860"/>
      <w:bookmarkStart w:id="1491" w:name="_Toc247514283"/>
      <w:bookmarkStart w:id="1492" w:name="_Toc152042580"/>
      <w:r>
        <w:rPr>
          <w:rFonts w:hint="eastAsia" w:asciiTheme="minorEastAsia" w:hAnsiTheme="minorEastAsia" w:eastAsiaTheme="minorEastAsia" w:cstheme="minorEastAsia"/>
          <w:sz w:val="21"/>
          <w:szCs w:val="21"/>
        </w:rPr>
        <w:br w:type="page"/>
      </w:r>
      <w:bookmarkEnd w:id="1488"/>
      <w:bookmarkEnd w:id="1489"/>
      <w:bookmarkEnd w:id="1490"/>
      <w:bookmarkEnd w:id="1491"/>
      <w:bookmarkEnd w:id="1492"/>
      <w:bookmarkStart w:id="1493" w:name="_Toc113958628"/>
      <w:bookmarkStart w:id="1494" w:name="_Toc504566202"/>
      <w:bookmarkStart w:id="1495" w:name="_Toc11665"/>
      <w:r>
        <w:rPr>
          <w:rFonts w:hint="eastAsia" w:asciiTheme="minorEastAsia" w:hAnsiTheme="minorEastAsia" w:eastAsiaTheme="minorEastAsia" w:cstheme="minorEastAsia"/>
          <w:b/>
          <w:bCs/>
          <w:sz w:val="28"/>
          <w:szCs w:val="21"/>
        </w:rPr>
        <w:t>二、法定代表人身份证明</w:t>
      </w:r>
      <w:bookmarkEnd w:id="1493"/>
      <w:bookmarkEnd w:id="1494"/>
      <w:bookmarkEnd w:id="1495"/>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单位性质：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r>
        <w:rPr>
          <w:rFonts w:hint="eastAsia" w:asciiTheme="minorEastAsia" w:hAnsiTheme="minorEastAsia" w:eastAsiaTheme="minorEastAsia" w:cstheme="minorEastAsia"/>
          <w:sz w:val="21"/>
          <w:szCs w:val="21"/>
          <w:u w:val="single"/>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经营期限：</w:t>
      </w:r>
      <w:r>
        <w:rPr>
          <w:rFonts w:hint="eastAsia" w:asciiTheme="minorEastAsia" w:hAnsiTheme="minorEastAsia" w:eastAsiaTheme="minorEastAsia" w:cstheme="minorEastAsia"/>
          <w:sz w:val="21"/>
          <w:szCs w:val="21"/>
          <w:u w:val="single"/>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性别：</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年龄：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职务：</w:t>
      </w:r>
      <w:r>
        <w:rPr>
          <w:rFonts w:hint="eastAsia" w:asciiTheme="minorEastAsia" w:hAnsiTheme="minorEastAsia" w:eastAsiaTheme="minorEastAsia" w:cstheme="minorEastAsia"/>
          <w:sz w:val="21"/>
          <w:szCs w:val="21"/>
          <w:u w:val="single"/>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（投标人名称）的法定代表人。</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特此证明。</w:t>
      </w:r>
    </w:p>
    <w:p>
      <w:pPr>
        <w:spacing w:line="360" w:lineRule="auto"/>
        <w:ind w:firstLine="420" w:firstLineChars="200"/>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附：法定代表人身份证复印件（扫描件）。</w:t>
      </w:r>
    </w:p>
    <w:p>
      <w:pPr>
        <w:spacing w:line="360" w:lineRule="auto"/>
        <w:ind w:firstLine="420" w:firstLineChars="200"/>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投标人：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（盖单位章）</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日</w:t>
      </w:r>
    </w:p>
    <w:p>
      <w:pPr>
        <w:pStyle w:val="6"/>
        <w:spacing w:line="360" w:lineRule="auto"/>
        <w:ind w:left="0" w:firstLine="0"/>
        <w:jc w:val="center"/>
        <w:rPr>
          <w:rFonts w:asciiTheme="minorEastAsia" w:hAnsiTheme="minorEastAsia" w:eastAsiaTheme="minorEastAsia" w:cstheme="minorEastAsia"/>
        </w:rPr>
      </w:pPr>
      <w:bookmarkStart w:id="1496" w:name="_Toc152042581"/>
      <w:bookmarkStart w:id="1497" w:name="_Toc144974861"/>
      <w:bookmarkStart w:id="1498" w:name="_Toc152045792"/>
      <w:bookmarkStart w:id="1499" w:name="_Toc247514284"/>
      <w:bookmarkStart w:id="1500" w:name="_Toc247527832"/>
      <w:r>
        <w:rPr>
          <w:rFonts w:hint="eastAsia" w:asciiTheme="minorEastAsia" w:hAnsiTheme="minorEastAsia" w:eastAsiaTheme="minorEastAsia" w:cstheme="minorEastAsia"/>
          <w:sz w:val="21"/>
          <w:szCs w:val="21"/>
        </w:rPr>
        <w:br w:type="page"/>
      </w:r>
      <w:bookmarkEnd w:id="1496"/>
      <w:bookmarkEnd w:id="1497"/>
      <w:bookmarkEnd w:id="1498"/>
      <w:bookmarkEnd w:id="1499"/>
      <w:bookmarkEnd w:id="1500"/>
      <w:bookmarkStart w:id="1501" w:name="_Toc16992"/>
      <w:bookmarkStart w:id="1502" w:name="_Toc113958629"/>
      <w:bookmarkStart w:id="1503" w:name="_Toc504566203"/>
      <w:r>
        <w:rPr>
          <w:rFonts w:hint="eastAsia" w:asciiTheme="minorEastAsia" w:hAnsiTheme="minorEastAsia" w:eastAsiaTheme="minorEastAsia" w:cstheme="minorEastAsia"/>
          <w:b/>
          <w:bCs/>
          <w:sz w:val="28"/>
          <w:szCs w:val="21"/>
        </w:rPr>
        <w:t>三、授权委托书</w:t>
      </w:r>
      <w:bookmarkEnd w:id="1501"/>
      <w:bookmarkEnd w:id="1502"/>
      <w:bookmarkEnd w:id="1503"/>
    </w:p>
    <w:p>
      <w:pPr>
        <w:topLinePunct/>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（招标人名称）</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topLinePunct/>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（姓名）系</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（投标人名称）的法定代表人，现委托</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（姓名）为我方代理人。代理人根据授权，以我方名义签署、澄清、说明、补正、递交、撤回、修改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（项目名称）投标文件、签订合同和处理有关事宜，其法律后果由我方承担。</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委托期限：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代理人无转委托权。</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附：法定代表人身份证明；委托代理人身份证复印件（扫描件）。</w:t>
      </w:r>
    </w:p>
    <w:p>
      <w:pPr>
        <w:spacing w:line="440" w:lineRule="exact"/>
        <w:rPr>
          <w:rFonts w:asciiTheme="minorEastAsia" w:hAnsiTheme="minorEastAsia" w:eastAsiaTheme="minorEastAsia" w:cstheme="minorEastAsia"/>
          <w:sz w:val="21"/>
          <w:szCs w:val="21"/>
        </w:rPr>
      </w:pP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（盖单位章）</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r>
        <w:rPr>
          <w:rFonts w:hint="eastAsia" w:asciiTheme="minorEastAsia" w:hAnsiTheme="minorEastAsia" w:eastAsiaTheme="minorEastAsia" w:cstheme="minorEastAsia"/>
          <w:sz w:val="21"/>
          <w:szCs w:val="21"/>
          <w:u w:val="single"/>
        </w:rPr>
        <w:t xml:space="preserve">                                     </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 xml:space="preserve">） </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附身份证复印件</w:t>
      </w:r>
    </w:p>
    <w:p>
      <w:pPr>
        <w:spacing w:line="360" w:lineRule="auto"/>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手机号码：</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lang w:val="en-US"/>
        </w:rPr>
        <w:t xml:space="preserve"> </w:t>
      </w:r>
    </w:p>
    <w:p>
      <w:pPr>
        <w:spacing w:line="360" w:lineRule="auto"/>
        <w:ind w:firstLine="1575" w:firstLineChars="7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line="360" w:lineRule="auto"/>
        <w:ind w:firstLine="1575" w:firstLineChars="750"/>
        <w:rPr>
          <w:rFonts w:asciiTheme="minorEastAsia" w:hAnsiTheme="minorEastAsia" w:eastAsiaTheme="minorEastAsia" w:cstheme="minorEastAsia"/>
          <w:sz w:val="21"/>
          <w:szCs w:val="21"/>
        </w:rPr>
      </w:pPr>
    </w:p>
    <w:p>
      <w:pPr>
        <w:spacing w:line="440" w:lineRule="exact"/>
        <w:ind w:firstLine="1575" w:firstLineChars="750"/>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186690</wp:posOffset>
                </wp:positionV>
                <wp:extent cx="2447925" cy="1762125"/>
                <wp:effectExtent l="0" t="0" r="28575" b="28575"/>
                <wp:wrapNone/>
                <wp:docPr id="1027" name="文本框 5"/>
                <wp:cNvGraphicFramePr/>
                <a:graphic xmlns:a="http://schemas.openxmlformats.org/drawingml/2006/main">
                  <a:graphicData uri="http://schemas.microsoft.com/office/word/2010/wordprocessingShape">
                    <wps:wsp>
                      <wps:cNvSpPr/>
                      <wps:spPr>
                        <a:xfrm>
                          <a:off x="0" y="0"/>
                          <a:ext cx="2447925" cy="1762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8"/>
                              </w:rPr>
                            </w:pPr>
                            <w:r>
                              <w:rPr>
                                <w:rFonts w:hint="eastAsia"/>
                                <w:sz w:val="21"/>
                                <w:szCs w:val="28"/>
                              </w:rPr>
                              <w:t>法定代表人身份证</w:t>
                            </w:r>
                          </w:p>
                          <w:p>
                            <w:pPr>
                              <w:jc w:val="center"/>
                              <w:rPr>
                                <w:sz w:val="21"/>
                                <w:szCs w:val="28"/>
                              </w:rPr>
                            </w:pPr>
                            <w:r>
                              <w:rPr>
                                <w:rFonts w:hint="eastAsia"/>
                                <w:sz w:val="21"/>
                                <w:szCs w:val="28"/>
                              </w:rPr>
                              <w:t>正、反面复印件</w:t>
                            </w:r>
                          </w:p>
                        </w:txbxContent>
                      </wps:txbx>
                      <wps:bodyPr upright="1"/>
                    </wps:wsp>
                  </a:graphicData>
                </a:graphic>
              </wp:anchor>
            </w:drawing>
          </mc:Choice>
          <mc:Fallback>
            <w:pict>
              <v:rect id="文本框 5" o:spid="_x0000_s1026" o:spt="1" style="position:absolute;left:0pt;margin-left:13.85pt;margin-top:14.7pt;height:138.75pt;width:192.75pt;z-index:251661312;mso-width-relative:page;mso-height-relative:page;" fillcolor="#FFFFFF" filled="t" stroked="t" coordsize="21600,21600" o:gfxdata="UEsDBAoAAAAAAIdO4kAAAAAAAAAAAAAAAAAEAAAAZHJzL1BLAwQUAAAACACHTuJAUsSuAtgAAAAJ&#10;AQAADwAAAGRycy9kb3ducmV2LnhtbE2PQU+DQBCF7yb+h82YeLO7QNMKsvSgqYnHll68DbACys4S&#10;dmnRX+94sqeXyXt575t8t9hBnM3ke0caopUCYah2TU+thlO5f3gE4QNSg4Mjo+HbeNgVtzc5Zo27&#10;0MGcj6EVXEI+Qw1dCGMmpa87Y9Gv3GiIvQ83WQx8Tq1sJrxwuR1krNRGWuyJFzoczXNn6q/jbDVU&#10;fXzCn0P5qmy6T8LbUn7O7y9a399F6glEMEv4D8MfPqNDwUyVm6nxYtAQb7ecZE3XINhfR0kMotKQ&#10;qE0Kssjl9QfFL1BLAwQUAAAACACHTuJAwJ/1jO0BAADiAwAADgAAAGRycy9lMm9Eb2MueG1srVPN&#10;bhMxEL4j8Q6W72R/1DR0lU0PhHBBUKnwABPbu2vJf7Ld7OYF4A04ceHOc+U5GDshbWkPCLEH74xn&#10;/Pmbb8bL60krshM+SGtaWs1KSoRhlkvTt/Tzp82r15SECIaDska0dC8CvV69fLEcXSNqO1jFhScI&#10;YkIzupYOMbqmKAIbhIYws04YDHbWa4jo+r7gHkZE16qoy/KyGK3nzlsmQsDd9TFIVxm/6wSLH7su&#10;iEhUS5FbzKvP6zatxWoJTe/BDZKdaMA/sNAgDV56hlpDBHLn5RMoLZm3wXZxxqwubNdJJnINWE1V&#10;/lHN7QBO5FpQnODOMoX/B8s+7G48kRx7V9YLSgxo7NLh29fD95+HH1/IPCk0utBg4q278ScvoJnK&#10;nTqv0x8LIVNWdX9WVUyRMNysLy4WV/WcEoaxanFZV+ggTnF/3PkQ3wmrSTJa6rFtWU3YvQ/xmPo7&#10;Jd0WrJJ8I5XKju+3b5QnO8AWb/J3Qn+UpgwZW3o1z0QAJ61TEJGTdlh7MH2+79GJ8BC4zN9zwInY&#10;GsJwJJARUho0WkbhszUI4G8NJ3HvUFyDD4EmMlpwSpTAd5OsnBlBqr/JRO2UQQlTZ469SFacthPC&#10;JHNr+R4be+e87AeUtMrUUwQHKWt/Gvo0qQ/9DHr/N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LErgLYAAAACQEAAA8AAAAAAAAAAQAgAAAAIgAAAGRycy9kb3ducmV2LnhtbFBLAQIUABQAAAAI&#10;AIdO4kDAn/WM7QEAAOIDAAAOAAAAAAAAAAEAIAAAACcBAABkcnMvZTJvRG9jLnhtbFBLBQYAAAAA&#10;BgAGAFkBAACGBQAAAAA=&#10;">
                <v:fill on="t" focussize="0,0"/>
                <v:stroke color="#000000" joinstyle="miter"/>
                <v:imagedata o:title=""/>
                <o:lock v:ext="edit" aspectratio="f"/>
                <v:textbox>
                  <w:txbxContent>
                    <w:p>
                      <w:pPr>
                        <w:jc w:val="center"/>
                        <w:rPr>
                          <w:sz w:val="21"/>
                          <w:szCs w:val="28"/>
                        </w:rPr>
                      </w:pPr>
                      <w:r>
                        <w:rPr>
                          <w:rFonts w:hint="eastAsia"/>
                          <w:sz w:val="21"/>
                          <w:szCs w:val="28"/>
                        </w:rPr>
                        <w:t>法定代表人身份证</w:t>
                      </w:r>
                    </w:p>
                    <w:p>
                      <w:pPr>
                        <w:jc w:val="center"/>
                        <w:rPr>
                          <w:sz w:val="21"/>
                          <w:szCs w:val="28"/>
                        </w:rPr>
                      </w:pPr>
                      <w:r>
                        <w:rPr>
                          <w:rFonts w:hint="eastAsia"/>
                          <w:sz w:val="21"/>
                          <w:szCs w:val="28"/>
                        </w:rPr>
                        <w:t>正、反面复印件</w:t>
                      </w:r>
                    </w:p>
                  </w:txbxContent>
                </v:textbox>
              </v:rect>
            </w:pict>
          </mc:Fallback>
        </mc:AlternateContent>
      </w:r>
      <w:r>
        <w:rPr>
          <w:rFonts w:asciiTheme="minorEastAsia" w:hAnsiTheme="minorEastAsia" w:eastAsiaTheme="minorEastAsia" w:cstheme="minorEastAsia"/>
          <w:sz w:val="21"/>
          <w:szCs w:val="21"/>
          <w:lang w:val="en-US" w:bidi="ar-SA"/>
        </w:rPr>
        <mc:AlternateContent>
          <mc:Choice Requires="wps">
            <w:drawing>
              <wp:anchor distT="0" distB="0" distL="114300" distR="114300" simplePos="0" relativeHeight="251662336" behindDoc="0" locked="0" layoutInCell="1" allowOverlap="1">
                <wp:simplePos x="0" y="0"/>
                <wp:positionH relativeFrom="column">
                  <wp:posOffset>2957195</wp:posOffset>
                </wp:positionH>
                <wp:positionV relativeFrom="paragraph">
                  <wp:posOffset>186690</wp:posOffset>
                </wp:positionV>
                <wp:extent cx="2371725" cy="1762125"/>
                <wp:effectExtent l="0" t="0" r="28575" b="28575"/>
                <wp:wrapNone/>
                <wp:docPr id="1028" name="文本框 6"/>
                <wp:cNvGraphicFramePr/>
                <a:graphic xmlns:a="http://schemas.openxmlformats.org/drawingml/2006/main">
                  <a:graphicData uri="http://schemas.microsoft.com/office/word/2010/wordprocessingShape">
                    <wps:wsp>
                      <wps:cNvSpPr/>
                      <wps:spPr>
                        <a:xfrm>
                          <a:off x="0" y="0"/>
                          <a:ext cx="2371725" cy="1762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8"/>
                              </w:rPr>
                            </w:pPr>
                            <w:r>
                              <w:rPr>
                                <w:rFonts w:hint="eastAsia"/>
                                <w:sz w:val="21"/>
                                <w:szCs w:val="28"/>
                              </w:rPr>
                              <w:t>委托代理人身份证</w:t>
                            </w:r>
                          </w:p>
                          <w:p>
                            <w:pPr>
                              <w:jc w:val="center"/>
                              <w:rPr>
                                <w:sz w:val="21"/>
                                <w:szCs w:val="28"/>
                              </w:rPr>
                            </w:pPr>
                            <w:r>
                              <w:rPr>
                                <w:rFonts w:hint="eastAsia"/>
                                <w:sz w:val="21"/>
                                <w:szCs w:val="28"/>
                              </w:rPr>
                              <w:t>正、反面复印件</w:t>
                            </w:r>
                          </w:p>
                          <w:p>
                            <w:pPr/>
                          </w:p>
                        </w:txbxContent>
                      </wps:txbx>
                      <wps:bodyPr upright="1"/>
                    </wps:wsp>
                  </a:graphicData>
                </a:graphic>
              </wp:anchor>
            </w:drawing>
          </mc:Choice>
          <mc:Fallback>
            <w:pict>
              <v:rect id="文本框 6" o:spid="_x0000_s1026" o:spt="1" style="position:absolute;left:0pt;margin-left:232.85pt;margin-top:14.7pt;height:138.75pt;width:186.75pt;z-index:251662336;mso-width-relative:page;mso-height-relative:page;" fillcolor="#FFFFFF" filled="t" stroked="t" coordsize="21600,21600" o:gfxdata="UEsDBAoAAAAAAIdO4kAAAAAAAAAAAAAAAAAEAAAAZHJzL1BLAwQUAAAACACHTuJALTBTCtkAAAAK&#10;AQAADwAAAGRycy9kb3ducmV2LnhtbE2PQU+DQBCF7yb+h82YeLO7hYoFGXrQ1MRjSy/eBhgBZXcJ&#10;u7Tor3c96XHyvrz3Tb5b9CDOPLneGoT1SoFgU9umNy3CqdzfbUE4T6ahwRpG+GIHu+L6KqessRdz&#10;4PPRtyKUGJcRQuf9mEnp6o41uZUd2YTs3U6afDinVjYTXUK5HmSkVCI19SYsdDTyU8f153HWCFUf&#10;nej7UL4one5j/7qUH/PbM+LtzVo9gvC8+D8YfvWDOhTBqbKzaZwYEDbJ/UNAEaJ0AyIA2ziNQFQI&#10;sUpSkEUu/79Q/ABQSwMEFAAAAAgAh07iQPfCcdvsAQAA4gMAAA4AAABkcnMvZTJvRG9jLnhtbK1T&#10;zW4TMRC+I/EOlu9kf1ATusqmB9L0gqBS4QEmtnfXkv9ku9nNC8AbcOLCnefKczB20rQFDgixB++M&#10;Z/z5m2/Gy6tJK7ITPkhrWlrNSkqEYZZL07f008fNqzeUhAiGg7JGtHQvAr1avXyxHF0jajtYxYUn&#10;CGJCM7qWDjG6pigCG4SGMLNOGAx21muI6Pq+4B5GRNeqqMtyXozWc+ctEyHg7voYpKuM33WCxQ9d&#10;F0QkqqXILebV53Wb1mK1hKb34AbJTjTgH1hokAYvPUOtIQK59/I3KC2Zt8F2ccasLmzXSSZyDVhN&#10;Vf5Szd0ATuRaUJzgzjKF/wfL3u9uPZEce1fW2CsDGrt0+Prl8O3H4ftnMk8KjS40mHjnbv3JC2im&#10;cqfO6/THQsiUVd2fVRVTJAw369eLalFfUMIwVi3mdYUO4hSPx50P8UZYTZLRUo9ty2rC7l2Ix9SH&#10;lHRbsEryjVQqO77fvlWe7ABbvMnfCf1ZmjJkbOnlRSYCOGmdgoictMPag+nzfc9OhKfAZf7+BJyI&#10;rSEMRwIZIaVBo2UUPluDAH5tOIl7h+IafAg0kdGCU6IEvptk5cwIUv1NJmqnDEqYOnPsRbLitJ0Q&#10;Jplby/fY2HvnZT+gpFWmniI4SFn709CnSX3qZ9DHp7n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0wUwrZAAAACgEAAA8AAAAAAAAAAQAgAAAAIgAAAGRycy9kb3ducmV2LnhtbFBLAQIUABQAAAAI&#10;AIdO4kD3wnHb7AEAAOIDAAAOAAAAAAAAAAEAIAAAACgBAABkcnMvZTJvRG9jLnhtbFBLBQYAAAAA&#10;BgAGAFkBAACGBQAAAAA=&#10;">
                <v:fill on="t" focussize="0,0"/>
                <v:stroke color="#000000" joinstyle="miter"/>
                <v:imagedata o:title=""/>
                <o:lock v:ext="edit" aspectratio="f"/>
                <v:textbox>
                  <w:txbxContent>
                    <w:p>
                      <w:pPr>
                        <w:jc w:val="center"/>
                        <w:rPr>
                          <w:sz w:val="21"/>
                          <w:szCs w:val="28"/>
                        </w:rPr>
                      </w:pPr>
                      <w:r>
                        <w:rPr>
                          <w:rFonts w:hint="eastAsia"/>
                          <w:sz w:val="21"/>
                          <w:szCs w:val="28"/>
                        </w:rPr>
                        <w:t>委托代理人身份证</w:t>
                      </w:r>
                    </w:p>
                    <w:p>
                      <w:pPr>
                        <w:jc w:val="center"/>
                        <w:rPr>
                          <w:sz w:val="21"/>
                          <w:szCs w:val="28"/>
                        </w:rPr>
                      </w:pPr>
                      <w:r>
                        <w:rPr>
                          <w:rFonts w:hint="eastAsia"/>
                          <w:sz w:val="21"/>
                          <w:szCs w:val="28"/>
                        </w:rPr>
                        <w:t>正、反面复印件</w:t>
                      </w:r>
                    </w:p>
                    <w:p>
                      <w:pPr/>
                    </w:p>
                  </w:txbxContent>
                </v:textbox>
              </v:rect>
            </w:pict>
          </mc:Fallback>
        </mc:AlternateContent>
      </w: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p>
    <w:p>
      <w:pPr>
        <w:pStyle w:val="6"/>
        <w:spacing w:line="360" w:lineRule="auto"/>
        <w:ind w:left="0" w:firstLine="0"/>
        <w:jc w:val="center"/>
        <w:rPr>
          <w:rFonts w:asciiTheme="minorEastAsia" w:hAnsiTheme="minorEastAsia" w:eastAsiaTheme="minorEastAsia" w:cstheme="minorEastAsia"/>
          <w:sz w:val="21"/>
          <w:szCs w:val="21"/>
        </w:rPr>
      </w:pPr>
      <w:bookmarkStart w:id="1504" w:name="_Toc152042582"/>
      <w:bookmarkStart w:id="1505" w:name="_Toc152045793"/>
      <w:bookmarkStart w:id="1506" w:name="_Toc247527833"/>
      <w:bookmarkStart w:id="1507" w:name="_Toc247514285"/>
      <w:r>
        <w:rPr>
          <w:rFonts w:hint="eastAsia" w:asciiTheme="minorEastAsia" w:hAnsiTheme="minorEastAsia" w:eastAsiaTheme="minorEastAsia" w:cstheme="minorEastAsia"/>
          <w:sz w:val="21"/>
          <w:szCs w:val="21"/>
        </w:rPr>
        <w:br w:type="page"/>
      </w:r>
      <w:bookmarkEnd w:id="1504"/>
      <w:bookmarkEnd w:id="1505"/>
      <w:bookmarkEnd w:id="1506"/>
      <w:bookmarkEnd w:id="1507"/>
      <w:bookmarkStart w:id="1508" w:name="_Toc492365082"/>
      <w:bookmarkStart w:id="1509" w:name="_Toc296602998"/>
      <w:bookmarkStart w:id="1510" w:name="_Toc113958630"/>
      <w:bookmarkStart w:id="1511" w:name="_Toc498286138"/>
      <w:bookmarkStart w:id="1512" w:name="_Toc6633"/>
      <w:bookmarkStart w:id="1513" w:name="_Toc8971"/>
      <w:r>
        <w:rPr>
          <w:rFonts w:hint="eastAsia" w:asciiTheme="minorEastAsia" w:hAnsiTheme="minorEastAsia" w:eastAsiaTheme="minorEastAsia" w:cstheme="minorEastAsia"/>
          <w:b/>
          <w:bCs/>
          <w:sz w:val="28"/>
          <w:szCs w:val="21"/>
        </w:rPr>
        <w:t>四、投标保证金</w:t>
      </w:r>
      <w:bookmarkEnd w:id="1508"/>
      <w:bookmarkEnd w:id="1509"/>
      <w:bookmarkEnd w:id="1510"/>
      <w:bookmarkEnd w:id="1511"/>
      <w:bookmarkEnd w:id="1512"/>
      <w:bookmarkEnd w:id="1513"/>
    </w:p>
    <w:p>
      <w:pPr>
        <w:spacing w:line="440" w:lineRule="exact"/>
        <w:rPr>
          <w:sz w:val="21"/>
          <w:szCs w:val="21"/>
        </w:rPr>
      </w:pPr>
      <w:r>
        <w:rPr>
          <w:rFonts w:hint="eastAsia"/>
          <w:sz w:val="21"/>
          <w:szCs w:val="21"/>
          <w:u w:val="single"/>
        </w:rPr>
        <w:tab/>
      </w:r>
      <w:r>
        <w:rPr>
          <w:rFonts w:hint="eastAsia"/>
          <w:sz w:val="21"/>
          <w:szCs w:val="21"/>
          <w:u w:val="single"/>
        </w:rPr>
        <w:tab/>
      </w:r>
      <w:r>
        <w:rPr>
          <w:rFonts w:hint="eastAsia"/>
          <w:sz w:val="21"/>
          <w:szCs w:val="21"/>
        </w:rPr>
        <w:t>（招标人名称）：</w:t>
      </w:r>
    </w:p>
    <w:p>
      <w:pPr>
        <w:spacing w:line="440" w:lineRule="exact"/>
        <w:ind w:firstLine="420" w:firstLineChars="200"/>
        <w:rPr>
          <w:sz w:val="21"/>
          <w:szCs w:val="21"/>
        </w:rPr>
      </w:pPr>
      <w:r>
        <w:rPr>
          <w:rFonts w:hint="eastAsia"/>
          <w:sz w:val="21"/>
          <w:szCs w:val="21"/>
        </w:rPr>
        <w:t>我方于</w:t>
      </w:r>
      <w:r>
        <w:rPr>
          <w:rFonts w:hint="eastAsia"/>
          <w:sz w:val="21"/>
          <w:szCs w:val="21"/>
          <w:u w:val="single"/>
          <w:lang w:val="en-US"/>
        </w:rPr>
        <w:t xml:space="preserve">  </w:t>
      </w:r>
      <w:r>
        <w:rPr>
          <w:rFonts w:hint="eastAsia"/>
          <w:sz w:val="21"/>
          <w:szCs w:val="21"/>
        </w:rPr>
        <w:t>年</w:t>
      </w:r>
      <w:r>
        <w:rPr>
          <w:rFonts w:hint="eastAsia"/>
          <w:sz w:val="21"/>
          <w:szCs w:val="21"/>
          <w:u w:val="single"/>
          <w:lang w:val="en-US"/>
        </w:rPr>
        <w:t xml:space="preserve">   </w:t>
      </w:r>
      <w:r>
        <w:rPr>
          <w:rFonts w:hint="eastAsia"/>
          <w:sz w:val="21"/>
          <w:szCs w:val="21"/>
        </w:rPr>
        <w:t>月</w:t>
      </w:r>
      <w:r>
        <w:rPr>
          <w:rFonts w:hint="eastAsia"/>
          <w:sz w:val="21"/>
          <w:szCs w:val="21"/>
          <w:u w:val="single"/>
          <w:lang w:val="en-US"/>
        </w:rPr>
        <w:t xml:space="preserve">   </w:t>
      </w:r>
      <w:r>
        <w:rPr>
          <w:rFonts w:hint="eastAsia"/>
          <w:sz w:val="21"/>
          <w:szCs w:val="21"/>
        </w:rPr>
        <w:t>日参加（项目名称）的投标，现保证：我方在规定的投标有效期内撤销或修改投标文件的，或者在收到中标通知书后无正当理由拒签合同或拒交规定履约担保的，投标保证金不予退还。</w:t>
      </w:r>
    </w:p>
    <w:p>
      <w:pPr>
        <w:spacing w:line="440" w:lineRule="exact"/>
        <w:rPr>
          <w:sz w:val="21"/>
          <w:szCs w:val="21"/>
          <w:lang w:val="en-US"/>
        </w:rPr>
      </w:pPr>
      <w:r>
        <w:rPr>
          <w:rFonts w:hint="eastAsia"/>
          <w:sz w:val="21"/>
          <w:szCs w:val="21"/>
          <w:lang w:val="en-US"/>
        </w:rPr>
        <w:t xml:space="preserve"> </w:t>
      </w:r>
    </w:p>
    <w:p>
      <w:pPr>
        <w:spacing w:line="440" w:lineRule="exact"/>
        <w:rPr>
          <w:sz w:val="21"/>
          <w:szCs w:val="21"/>
        </w:rPr>
      </w:pPr>
    </w:p>
    <w:p>
      <w:pPr>
        <w:spacing w:line="440" w:lineRule="exact"/>
        <w:ind w:firstLine="2159" w:firstLineChars="1028"/>
        <w:rPr>
          <w:sz w:val="21"/>
          <w:szCs w:val="21"/>
          <w:u w:val="single"/>
        </w:rPr>
      </w:pPr>
      <w:r>
        <w:rPr>
          <w:rFonts w:hint="eastAsia"/>
          <w:sz w:val="21"/>
          <w:szCs w:val="21"/>
        </w:rPr>
        <w:t>投标人名称：</w:t>
      </w:r>
      <w:r>
        <w:rPr>
          <w:rFonts w:hint="eastAsia"/>
          <w:sz w:val="21"/>
          <w:szCs w:val="21"/>
          <w:u w:val="single"/>
        </w:rPr>
        <w:t>（盖单位章）</w:t>
      </w:r>
    </w:p>
    <w:p>
      <w:pPr>
        <w:spacing w:line="440" w:lineRule="exact"/>
        <w:ind w:firstLine="2159" w:firstLineChars="1028"/>
        <w:rPr>
          <w:sz w:val="21"/>
          <w:szCs w:val="21"/>
          <w:lang w:val="en-US"/>
        </w:rPr>
      </w:pPr>
      <w:r>
        <w:rPr>
          <w:rFonts w:hint="eastAsia"/>
          <w:sz w:val="21"/>
          <w:szCs w:val="21"/>
        </w:rPr>
        <w:t>法定代表人或授权人：</w:t>
      </w:r>
      <w:r>
        <w:rPr>
          <w:rFonts w:hint="eastAsia"/>
          <w:sz w:val="21"/>
          <w:szCs w:val="21"/>
          <w:u w:val="single"/>
        </w:rPr>
        <w:t>（</w:t>
      </w:r>
      <w:r>
        <w:rPr>
          <w:rFonts w:hint="eastAsia"/>
          <w:sz w:val="21"/>
          <w:szCs w:val="21"/>
          <w:lang w:val="en-US"/>
        </w:rPr>
        <w:t>签字或盖章</w:t>
      </w:r>
      <w:r>
        <w:rPr>
          <w:rFonts w:hint="eastAsia"/>
          <w:sz w:val="21"/>
          <w:szCs w:val="21"/>
          <w:u w:val="single"/>
        </w:rPr>
        <w:t>）</w:t>
      </w:r>
      <w:r>
        <w:rPr>
          <w:rFonts w:hint="eastAsia"/>
          <w:sz w:val="21"/>
          <w:szCs w:val="21"/>
          <w:u w:val="single"/>
          <w:lang w:val="en-US"/>
        </w:rPr>
        <w:t xml:space="preserve">       </w:t>
      </w:r>
    </w:p>
    <w:p>
      <w:pPr>
        <w:spacing w:line="440" w:lineRule="exact"/>
        <w:ind w:firstLine="2159" w:firstLineChars="1028"/>
        <w:rPr>
          <w:sz w:val="21"/>
          <w:szCs w:val="21"/>
        </w:rPr>
      </w:pPr>
      <w:r>
        <w:rPr>
          <w:rFonts w:hint="eastAsia"/>
          <w:sz w:val="21"/>
          <w:szCs w:val="21"/>
        </w:rPr>
        <w:t>地    址：</w:t>
      </w:r>
      <w:r>
        <w:rPr>
          <w:rFonts w:hint="eastAsia"/>
          <w:sz w:val="21"/>
          <w:szCs w:val="21"/>
          <w:u w:val="single"/>
        </w:rPr>
        <w:tab/>
      </w:r>
      <w:r>
        <w:rPr>
          <w:rFonts w:hint="eastAsia"/>
          <w:sz w:val="21"/>
          <w:szCs w:val="21"/>
          <w:u w:val="single"/>
        </w:rPr>
        <w:tab/>
      </w:r>
      <w:r>
        <w:rPr>
          <w:rFonts w:hint="eastAsia"/>
          <w:sz w:val="21"/>
          <w:szCs w:val="21"/>
          <w:u w:val="single"/>
        </w:rPr>
        <w:tab/>
      </w:r>
      <w:r>
        <w:rPr>
          <w:rFonts w:hint="eastAsia"/>
          <w:sz w:val="21"/>
          <w:szCs w:val="21"/>
          <w:u w:val="single"/>
        </w:rPr>
        <w:tab/>
      </w:r>
    </w:p>
    <w:p>
      <w:pPr>
        <w:spacing w:line="440" w:lineRule="exact"/>
        <w:ind w:firstLine="2159" w:firstLineChars="1028"/>
        <w:rPr>
          <w:sz w:val="21"/>
          <w:szCs w:val="21"/>
          <w:u w:val="single"/>
        </w:rPr>
      </w:pPr>
      <w:r>
        <w:rPr>
          <w:rFonts w:hint="eastAsia"/>
          <w:sz w:val="21"/>
          <w:szCs w:val="21"/>
        </w:rPr>
        <w:t>邮政编码：</w:t>
      </w:r>
      <w:r>
        <w:rPr>
          <w:rFonts w:hint="eastAsia"/>
          <w:sz w:val="21"/>
          <w:szCs w:val="21"/>
          <w:u w:val="single"/>
        </w:rPr>
        <w:tab/>
      </w:r>
      <w:r>
        <w:rPr>
          <w:rFonts w:hint="eastAsia"/>
          <w:sz w:val="21"/>
          <w:szCs w:val="21"/>
          <w:u w:val="single"/>
        </w:rPr>
        <w:tab/>
      </w:r>
      <w:r>
        <w:rPr>
          <w:rFonts w:hint="eastAsia"/>
          <w:sz w:val="21"/>
          <w:szCs w:val="21"/>
          <w:u w:val="single"/>
        </w:rPr>
        <w:tab/>
      </w:r>
      <w:r>
        <w:rPr>
          <w:rFonts w:hint="eastAsia"/>
          <w:sz w:val="21"/>
          <w:szCs w:val="21"/>
          <w:u w:val="single"/>
        </w:rPr>
        <w:tab/>
      </w:r>
      <w:r>
        <w:rPr>
          <w:rFonts w:hint="eastAsia"/>
          <w:sz w:val="21"/>
          <w:szCs w:val="21"/>
          <w:u w:val="single"/>
        </w:rPr>
        <w:tab/>
      </w:r>
      <w:r>
        <w:rPr>
          <w:rFonts w:hint="eastAsia"/>
          <w:sz w:val="21"/>
          <w:szCs w:val="21"/>
          <w:u w:val="single"/>
        </w:rPr>
        <w:tab/>
      </w:r>
      <w:r>
        <w:rPr>
          <w:rFonts w:hint="eastAsia"/>
          <w:sz w:val="21"/>
          <w:szCs w:val="21"/>
          <w:u w:val="single"/>
        </w:rPr>
        <w:tab/>
      </w:r>
    </w:p>
    <w:p>
      <w:pPr>
        <w:spacing w:line="440" w:lineRule="exact"/>
        <w:ind w:firstLine="2159" w:firstLineChars="1028"/>
        <w:rPr>
          <w:sz w:val="21"/>
          <w:szCs w:val="21"/>
          <w:lang w:val="en-US"/>
        </w:rPr>
      </w:pPr>
      <w:r>
        <w:rPr>
          <w:rFonts w:hint="eastAsia"/>
          <w:sz w:val="21"/>
          <w:szCs w:val="21"/>
        </w:rPr>
        <w:t>电    话：</w:t>
      </w:r>
      <w:r>
        <w:rPr>
          <w:rFonts w:hint="eastAsia"/>
          <w:sz w:val="21"/>
          <w:szCs w:val="21"/>
          <w:u w:val="single"/>
          <w:lang w:val="en-US"/>
        </w:rPr>
        <w:t xml:space="preserve">                                     </w:t>
      </w:r>
      <w:r>
        <w:rPr>
          <w:rFonts w:hint="eastAsia"/>
          <w:sz w:val="21"/>
          <w:szCs w:val="21"/>
          <w:lang w:val="en-US"/>
        </w:rPr>
        <w:t xml:space="preserve"> </w:t>
      </w:r>
    </w:p>
    <w:p>
      <w:pPr>
        <w:spacing w:line="440" w:lineRule="exact"/>
        <w:ind w:firstLine="3839" w:firstLineChars="1828"/>
        <w:rPr>
          <w:sz w:val="21"/>
          <w:szCs w:val="21"/>
        </w:rPr>
      </w:pPr>
      <w:r>
        <w:rPr>
          <w:rFonts w:hint="eastAsia"/>
          <w:sz w:val="21"/>
          <w:szCs w:val="21"/>
        </w:rPr>
        <w:t>年</w:t>
      </w:r>
      <w:r>
        <w:rPr>
          <w:rFonts w:hint="eastAsia"/>
          <w:sz w:val="21"/>
          <w:szCs w:val="21"/>
          <w:lang w:val="en-US"/>
        </w:rPr>
        <w:t xml:space="preserve">    </w:t>
      </w:r>
      <w:r>
        <w:rPr>
          <w:rFonts w:hint="eastAsia"/>
          <w:sz w:val="21"/>
          <w:szCs w:val="21"/>
        </w:rPr>
        <w:t>月</w:t>
      </w:r>
      <w:r>
        <w:rPr>
          <w:rFonts w:hint="eastAsia"/>
          <w:sz w:val="21"/>
          <w:szCs w:val="21"/>
          <w:lang w:val="en-US"/>
        </w:rPr>
        <w:t xml:space="preserve">    </w:t>
      </w:r>
      <w:r>
        <w:rPr>
          <w:rFonts w:hint="eastAsia"/>
          <w:sz w:val="21"/>
          <w:szCs w:val="21"/>
        </w:rPr>
        <w:t>日</w:t>
      </w:r>
    </w:p>
    <w:p>
      <w:pPr>
        <w:spacing w:line="360" w:lineRule="auto"/>
        <w:rPr>
          <w:sz w:val="21"/>
          <w:szCs w:val="21"/>
        </w:rPr>
      </w:pPr>
      <w:r>
        <w:rPr>
          <w:rFonts w:hint="eastAsia"/>
          <w:sz w:val="21"/>
          <w:szCs w:val="21"/>
        </w:rPr>
        <w:t>注：</w:t>
      </w:r>
    </w:p>
    <w:p>
      <w:pPr>
        <w:spacing w:line="360" w:lineRule="auto"/>
        <w:rPr>
          <w:sz w:val="21"/>
          <w:szCs w:val="21"/>
        </w:rPr>
      </w:pPr>
      <w:r>
        <w:rPr>
          <w:rFonts w:hint="eastAsia"/>
          <w:sz w:val="21"/>
          <w:szCs w:val="21"/>
        </w:rPr>
        <w:t>保证金的形式：转账、电汇或企业网银。</w:t>
      </w:r>
    </w:p>
    <w:p>
      <w:pPr>
        <w:spacing w:line="360" w:lineRule="auto"/>
        <w:rPr>
          <w:sz w:val="21"/>
          <w:szCs w:val="21"/>
        </w:rPr>
      </w:pPr>
      <w:r>
        <w:rPr>
          <w:rFonts w:hint="eastAsia"/>
          <w:sz w:val="21"/>
          <w:szCs w:val="21"/>
        </w:rPr>
        <w:t>请附银行转账、电汇或企业网银转账单扫描件。</w:t>
      </w:r>
    </w:p>
    <w:p>
      <w:pPr>
        <w:spacing w:line="360" w:lineRule="auto"/>
        <w:rPr>
          <w:sz w:val="21"/>
          <w:szCs w:val="21"/>
        </w:rPr>
      </w:pPr>
      <w:r>
        <w:rPr>
          <w:rFonts w:hint="eastAsia"/>
          <w:sz w:val="21"/>
          <w:szCs w:val="21"/>
        </w:rPr>
        <w:t>投标保证金应从投标人基本账户转出，附投标人基本账户开户许可证扫描件。</w:t>
      </w:r>
    </w:p>
    <w:p>
      <w:pPr>
        <w:pStyle w:val="2"/>
      </w:pPr>
    </w:p>
    <w:p>
      <w:pPr>
        <w:jc w:val="center"/>
        <w:rPr>
          <w:b/>
          <w:sz w:val="28"/>
        </w:rPr>
      </w:pPr>
      <w:r>
        <w:rPr>
          <w:rFonts w:hint="eastAsia"/>
          <w:b/>
          <w:sz w:val="28"/>
        </w:rPr>
        <w:t>基本账户开户许可证（或基本账户开户银行的基本存款账户信息）复印件(或影印件) 承诺函</w:t>
      </w:r>
    </w:p>
    <w:p>
      <w:pPr>
        <w:pStyle w:val="2"/>
      </w:pPr>
    </w:p>
    <w:p>
      <w:pPr>
        <w:rPr>
          <w:rFonts w:ascii="仿宋" w:hAnsi="仿宋" w:eastAsia="仿宋"/>
          <w:sz w:val="28"/>
        </w:rPr>
      </w:pPr>
      <w:r>
        <w:rPr>
          <w:rFonts w:hint="eastAsia" w:ascii="仿宋" w:hAnsi="仿宋" w:eastAsia="仿宋"/>
          <w:sz w:val="28"/>
        </w:rPr>
        <w:t xml:space="preserve">   我单位承诺，以下所附我单位基本账户开户许可证（或基本账户开户银行的基本存款账户信息）复印件(或影印件)真实有效。如与我单位《投标人基本情况表》中基本账户信息不一致的，以此为准。</w:t>
      </w:r>
    </w:p>
    <w:p>
      <w:pPr>
        <w:pStyle w:val="2"/>
      </w:pPr>
    </w:p>
    <w:p>
      <w:pPr/>
    </w:p>
    <w:p>
      <w:pPr>
        <w:pStyle w:val="16"/>
        <w:spacing w:before="127"/>
        <w:ind w:left="542"/>
        <w:rPr>
          <w:lang w:val="en-US"/>
        </w:rPr>
      </w:pPr>
      <w:r>
        <w:rPr>
          <w:b/>
          <w:bCs/>
          <w:sz w:val="28"/>
          <w:szCs w:val="22"/>
        </w:rPr>
        <w:t>附：账户开户许可证（或基本账户开户银行的基本存款账户信息）</w:t>
      </w:r>
    </w:p>
    <w:p>
      <w:pPr>
        <w:pStyle w:val="16"/>
        <w:spacing w:before="127"/>
        <w:ind w:left="542"/>
      </w:pPr>
    </w:p>
    <w:p>
      <w:pPr>
        <w:pStyle w:val="16"/>
        <w:spacing w:before="127"/>
        <w:ind w:left="542"/>
      </w:pPr>
    </w:p>
    <w:p>
      <w:pPr>
        <w:pStyle w:val="16"/>
        <w:spacing w:before="127"/>
        <w:ind w:left="542"/>
      </w:pPr>
    </w:p>
    <w:p>
      <w:pPr>
        <w:pStyle w:val="16"/>
        <w:spacing w:before="127"/>
        <w:ind w:left="542"/>
      </w:pPr>
    </w:p>
    <w:p>
      <w:pPr>
        <w:pStyle w:val="16"/>
        <w:spacing w:before="127"/>
        <w:ind w:left="542"/>
      </w:pPr>
    </w:p>
    <w:p>
      <w:pPr>
        <w:pStyle w:val="2"/>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adjustRightInd w:val="0"/>
        <w:rPr>
          <w:rFonts w:ascii="仿宋_GB2312" w:eastAsia="仿宋_GB2312"/>
          <w:b/>
          <w:bCs/>
          <w:sz w:val="24"/>
          <w:szCs w:val="24"/>
        </w:rPr>
      </w:pPr>
      <w:r>
        <w:rPr>
          <w:rFonts w:hint="eastAsia" w:ascii="仿宋_GB2312" w:hAnsi="Times New Roman" w:eastAsia="仿宋_GB2312"/>
          <w:sz w:val="24"/>
          <w:szCs w:val="24"/>
        </w:rPr>
        <w:t>如采用前附表中第二</w:t>
      </w:r>
      <w:r>
        <w:rPr>
          <w:rFonts w:hint="eastAsia" w:ascii="仿宋_GB2312" w:eastAsia="仿宋_GB2312"/>
          <w:sz w:val="24"/>
          <w:szCs w:val="24"/>
        </w:rPr>
        <w:t>类</w:t>
      </w:r>
      <w:r>
        <w:rPr>
          <w:rFonts w:hint="eastAsia" w:ascii="仿宋_GB2312" w:hAnsi="Times New Roman" w:eastAsia="仿宋_GB2312"/>
          <w:sz w:val="24"/>
          <w:szCs w:val="24"/>
        </w:rPr>
        <w:t>形式的保函，投</w:t>
      </w:r>
      <w:r>
        <w:rPr>
          <w:rFonts w:hint="eastAsia" w:ascii="仿宋_GB2312" w:eastAsia="仿宋_GB2312"/>
          <w:sz w:val="24"/>
          <w:szCs w:val="24"/>
        </w:rPr>
        <w:t>标</w:t>
      </w:r>
      <w:r>
        <w:rPr>
          <w:rFonts w:hint="eastAsia" w:ascii="仿宋_GB2312" w:hAnsi="Times New Roman" w:eastAsia="仿宋_GB2312"/>
          <w:sz w:val="24"/>
          <w:szCs w:val="24"/>
        </w:rPr>
        <w:t>人</w:t>
      </w:r>
      <w:r>
        <w:rPr>
          <w:rFonts w:hint="eastAsia" w:ascii="仿宋_GB2312" w:eastAsia="仿宋_GB2312"/>
          <w:sz w:val="24"/>
          <w:szCs w:val="24"/>
        </w:rPr>
        <w:t>应</w:t>
      </w:r>
      <w:r>
        <w:rPr>
          <w:rFonts w:hint="eastAsia" w:ascii="仿宋_GB2312" w:hAnsi="Times New Roman" w:eastAsia="仿宋_GB2312"/>
          <w:sz w:val="24"/>
          <w:szCs w:val="24"/>
        </w:rPr>
        <w:t>提供基本</w:t>
      </w:r>
      <w:r>
        <w:rPr>
          <w:rFonts w:hint="eastAsia" w:ascii="仿宋_GB2312" w:eastAsia="仿宋_GB2312"/>
          <w:sz w:val="24"/>
          <w:szCs w:val="24"/>
        </w:rPr>
        <w:t>账户</w:t>
      </w:r>
      <w:r>
        <w:rPr>
          <w:rFonts w:hint="eastAsia" w:ascii="仿宋_GB2312" w:hAnsi="Times New Roman" w:eastAsia="仿宋_GB2312"/>
          <w:sz w:val="24"/>
          <w:szCs w:val="24"/>
        </w:rPr>
        <w:t>开</w:t>
      </w:r>
      <w:r>
        <w:rPr>
          <w:rFonts w:hint="eastAsia" w:ascii="仿宋_GB2312" w:eastAsia="仿宋_GB2312"/>
          <w:sz w:val="24"/>
          <w:szCs w:val="24"/>
        </w:rPr>
        <w:t>户许</w:t>
      </w:r>
      <w:r>
        <w:rPr>
          <w:rFonts w:hint="eastAsia" w:ascii="仿宋_GB2312" w:hAnsi="Times New Roman" w:eastAsia="仿宋_GB2312"/>
          <w:sz w:val="24"/>
          <w:szCs w:val="24"/>
        </w:rPr>
        <w:t>可</w:t>
      </w:r>
      <w:r>
        <w:rPr>
          <w:rFonts w:hint="eastAsia" w:ascii="仿宋_GB2312" w:eastAsia="仿宋_GB2312"/>
          <w:sz w:val="24"/>
          <w:szCs w:val="24"/>
        </w:rPr>
        <w:t>证扫</w:t>
      </w:r>
      <w:r>
        <w:rPr>
          <w:rFonts w:hint="eastAsia" w:ascii="仿宋_GB2312" w:hAnsi="Times New Roman" w:eastAsia="仿宋_GB2312"/>
          <w:sz w:val="24"/>
          <w:szCs w:val="24"/>
        </w:rPr>
        <w:t>描件，同</w:t>
      </w:r>
      <w:r>
        <w:rPr>
          <w:rFonts w:hint="eastAsia" w:ascii="仿宋_GB2312" w:eastAsia="仿宋_GB2312"/>
          <w:sz w:val="24"/>
          <w:szCs w:val="24"/>
        </w:rPr>
        <w:t>时</w:t>
      </w:r>
      <w:r>
        <w:rPr>
          <w:rFonts w:hint="eastAsia" w:ascii="仿宋_GB2312" w:hAnsi="Times New Roman" w:eastAsia="仿宋_GB2312"/>
          <w:sz w:val="24"/>
          <w:szCs w:val="24"/>
        </w:rPr>
        <w:t>将</w:t>
      </w:r>
      <w:r>
        <w:rPr>
          <w:rFonts w:hint="eastAsia" w:ascii="仿宋_GB2312" w:eastAsia="仿宋_GB2312"/>
          <w:sz w:val="24"/>
          <w:szCs w:val="24"/>
        </w:rPr>
        <w:t>银</w:t>
      </w:r>
      <w:r>
        <w:rPr>
          <w:rFonts w:hint="eastAsia" w:ascii="仿宋_GB2312" w:hAnsi="Times New Roman" w:eastAsia="仿宋_GB2312"/>
          <w:sz w:val="24"/>
          <w:szCs w:val="24"/>
        </w:rPr>
        <w:t>行保函</w:t>
      </w:r>
      <w:r>
        <w:rPr>
          <w:rFonts w:hint="eastAsia" w:ascii="仿宋_GB2312" w:eastAsia="仿宋_GB2312"/>
          <w:sz w:val="24"/>
          <w:szCs w:val="24"/>
        </w:rPr>
        <w:t>扫</w:t>
      </w:r>
      <w:r>
        <w:rPr>
          <w:rFonts w:hint="eastAsia" w:ascii="仿宋_GB2312" w:hAnsi="Times New Roman" w:eastAsia="仿宋_GB2312"/>
          <w:sz w:val="24"/>
          <w:szCs w:val="24"/>
        </w:rPr>
        <w:t>描件提供在投</w:t>
      </w:r>
      <w:r>
        <w:rPr>
          <w:rFonts w:hint="eastAsia" w:ascii="仿宋_GB2312" w:eastAsia="仿宋_GB2312"/>
          <w:sz w:val="24"/>
          <w:szCs w:val="24"/>
        </w:rPr>
        <w:t>标</w:t>
      </w:r>
      <w:r>
        <w:rPr>
          <w:rFonts w:hint="eastAsia" w:ascii="仿宋_GB2312" w:hAnsi="Times New Roman" w:eastAsia="仿宋_GB2312"/>
          <w:sz w:val="24"/>
          <w:szCs w:val="24"/>
        </w:rPr>
        <w:t>文件中，格式</w:t>
      </w:r>
      <w:r>
        <w:rPr>
          <w:rFonts w:hint="eastAsia" w:ascii="仿宋_GB2312" w:eastAsia="仿宋_GB2312"/>
          <w:sz w:val="24"/>
          <w:szCs w:val="24"/>
        </w:rPr>
        <w:t>见</w:t>
      </w:r>
      <w:r>
        <w:rPr>
          <w:rFonts w:hint="eastAsia" w:ascii="仿宋_GB2312" w:hAnsi="Times New Roman" w:eastAsia="仿宋_GB2312"/>
          <w:sz w:val="24"/>
          <w:szCs w:val="24"/>
        </w:rPr>
        <w:t>投</w:t>
      </w:r>
      <w:r>
        <w:rPr>
          <w:rFonts w:hint="eastAsia" w:ascii="仿宋_GB2312" w:eastAsia="仿宋_GB2312"/>
          <w:sz w:val="24"/>
          <w:szCs w:val="24"/>
        </w:rPr>
        <w:t>标</w:t>
      </w:r>
      <w:r>
        <w:rPr>
          <w:rFonts w:hint="eastAsia" w:ascii="仿宋_GB2312" w:hAnsi="Times New Roman" w:eastAsia="仿宋_GB2312"/>
          <w:sz w:val="24"/>
          <w:szCs w:val="24"/>
        </w:rPr>
        <w:t>保函示范文本。</w:t>
      </w:r>
    </w:p>
    <w:p>
      <w:pPr>
        <w:spacing w:line="460" w:lineRule="exact"/>
        <w:jc w:val="center"/>
        <w:rPr>
          <w:b/>
          <w:bCs/>
          <w:sz w:val="32"/>
          <w:szCs w:val="32"/>
        </w:rPr>
      </w:pPr>
    </w:p>
    <w:p>
      <w:pPr>
        <w:spacing w:line="460" w:lineRule="exact"/>
        <w:jc w:val="center"/>
        <w:rPr>
          <w:b/>
          <w:bCs/>
          <w:sz w:val="32"/>
          <w:szCs w:val="32"/>
        </w:rPr>
      </w:pPr>
      <w:r>
        <w:rPr>
          <w:rFonts w:hint="eastAsia"/>
          <w:b/>
          <w:bCs/>
          <w:sz w:val="32"/>
          <w:szCs w:val="32"/>
        </w:rPr>
        <w:t>投标保函示范文本</w:t>
      </w:r>
    </w:p>
    <w:p>
      <w:pPr>
        <w:spacing w:line="460" w:lineRule="exact"/>
        <w:jc w:val="center"/>
        <w:rPr>
          <w:b/>
          <w:bCs/>
          <w:sz w:val="32"/>
          <w:szCs w:val="32"/>
        </w:rPr>
      </w:pPr>
    </w:p>
    <w:p>
      <w:pPr>
        <w:spacing w:line="460" w:lineRule="exact"/>
        <w:jc w:val="center"/>
        <w:rPr>
          <w:sz w:val="24"/>
          <w:szCs w:val="24"/>
        </w:rPr>
      </w:pPr>
      <w:r>
        <w:rPr>
          <w:rFonts w:hint="eastAsia"/>
          <w:b/>
          <w:bCs/>
          <w:sz w:val="32"/>
          <w:szCs w:val="32"/>
        </w:rPr>
        <w:t xml:space="preserve">              </w:t>
      </w:r>
      <w:r>
        <w:rPr>
          <w:rFonts w:hint="eastAsia"/>
        </w:rPr>
        <w:t xml:space="preserve">    保函编号：</w:t>
      </w:r>
      <w:r>
        <w:rPr>
          <w:rFonts w:hint="eastAsia"/>
          <w:u w:val="single"/>
        </w:rPr>
        <w:t xml:space="preserve">                        </w:t>
      </w:r>
      <w:r>
        <w:rPr>
          <w:rFonts w:hint="eastAsia"/>
          <w:sz w:val="24"/>
          <w:szCs w:val="24"/>
        </w:rPr>
        <w:t xml:space="preserve">      </w:t>
      </w:r>
    </w:p>
    <w:p>
      <w:pPr>
        <w:spacing w:line="460" w:lineRule="exact"/>
        <w:rPr>
          <w:sz w:val="24"/>
          <w:szCs w:val="24"/>
        </w:rPr>
      </w:pPr>
      <w:r>
        <w:rPr>
          <w:rFonts w:hint="eastAsia"/>
          <w:sz w:val="24"/>
          <w:szCs w:val="24"/>
        </w:rPr>
        <w:t>申请人：</w:t>
      </w:r>
    </w:p>
    <w:p>
      <w:pPr>
        <w:spacing w:line="460" w:lineRule="exact"/>
        <w:rPr>
          <w:sz w:val="24"/>
          <w:szCs w:val="24"/>
        </w:rPr>
      </w:pPr>
      <w:r>
        <w:rPr>
          <w:rFonts w:hint="eastAsia"/>
          <w:sz w:val="24"/>
          <w:szCs w:val="24"/>
        </w:rPr>
        <w:t xml:space="preserve">受益人： </w:t>
      </w:r>
    </w:p>
    <w:p>
      <w:pPr>
        <w:spacing w:line="460" w:lineRule="exact"/>
        <w:rPr>
          <w:sz w:val="24"/>
          <w:szCs w:val="24"/>
        </w:rPr>
      </w:pPr>
      <w:r>
        <w:rPr>
          <w:rFonts w:hint="eastAsia"/>
          <w:sz w:val="24"/>
          <w:szCs w:val="24"/>
        </w:rPr>
        <w:t>开立人：</w:t>
      </w:r>
    </w:p>
    <w:p>
      <w:pPr>
        <w:spacing w:line="460" w:lineRule="exact"/>
        <w:rPr>
          <w:sz w:val="24"/>
          <w:szCs w:val="24"/>
        </w:rPr>
      </w:pPr>
    </w:p>
    <w:p>
      <w:pPr>
        <w:spacing w:line="460" w:lineRule="exact"/>
        <w:rPr>
          <w:sz w:val="24"/>
          <w:szCs w:val="24"/>
        </w:rPr>
      </w:pPr>
      <w:r>
        <w:rPr>
          <w:rFonts w:hint="eastAsia"/>
          <w:sz w:val="24"/>
          <w:szCs w:val="24"/>
        </w:rPr>
        <w:t>致：</w:t>
      </w:r>
      <w:r>
        <w:rPr>
          <w:rFonts w:hint="eastAsia"/>
          <w:sz w:val="24"/>
          <w:szCs w:val="24"/>
          <w:u w:val="single"/>
        </w:rPr>
        <w:t xml:space="preserve">                         </w:t>
      </w:r>
      <w:r>
        <w:rPr>
          <w:rFonts w:hint="eastAsia"/>
          <w:sz w:val="24"/>
          <w:szCs w:val="24"/>
        </w:rPr>
        <w:t>（受益人名称）</w:t>
      </w:r>
    </w:p>
    <w:p>
      <w:pPr>
        <w:spacing w:line="460" w:lineRule="exact"/>
        <w:ind w:firstLine="480"/>
        <w:rPr>
          <w:sz w:val="24"/>
          <w:szCs w:val="24"/>
        </w:rPr>
      </w:pPr>
      <w:r>
        <w:rPr>
          <w:rFonts w:hint="eastAsia"/>
          <w:sz w:val="24"/>
          <w:szCs w:val="24"/>
        </w:rPr>
        <w:t>我方（即“开立人”）已获得通知，本保函申请人（即“投标人”）已响应贵方于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日就</w:t>
      </w:r>
      <w:r>
        <w:rPr>
          <w:rFonts w:hint="eastAsia"/>
          <w:sz w:val="24"/>
          <w:szCs w:val="24"/>
          <w:u w:val="single"/>
        </w:rPr>
        <w:t xml:space="preserve">                              </w:t>
      </w:r>
      <w:r>
        <w:rPr>
          <w:rFonts w:hint="eastAsia"/>
          <w:sz w:val="24"/>
          <w:szCs w:val="24"/>
        </w:rPr>
        <w:t>项目（以下简称“本项目”）发出的招标文件，并已向招标人（即“受益人”）提交了投标文件（即“基础交易”）。</w:t>
      </w:r>
    </w:p>
    <w:p>
      <w:pPr>
        <w:spacing w:line="460" w:lineRule="exact"/>
        <w:ind w:firstLine="480" w:firstLineChars="200"/>
        <w:rPr>
          <w:sz w:val="24"/>
          <w:szCs w:val="24"/>
        </w:rPr>
      </w:pPr>
      <w:r>
        <w:rPr>
          <w:rFonts w:hint="eastAsia"/>
          <w:sz w:val="24"/>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w:t>
      </w:r>
    </w:p>
    <w:p>
      <w:pPr>
        <w:spacing w:line="460" w:lineRule="exact"/>
        <w:ind w:firstLine="480" w:firstLineChars="200"/>
        <w:rPr>
          <w:sz w:val="24"/>
          <w:szCs w:val="24"/>
        </w:rPr>
      </w:pPr>
      <w:r>
        <w:rPr>
          <w:rFonts w:hint="eastAsia"/>
          <w:sz w:val="24"/>
          <w:szCs w:val="24"/>
        </w:rPr>
        <w:t xml:space="preserve">二、我方在投标人发生以下情形时承担保证担保责任： </w:t>
      </w:r>
    </w:p>
    <w:p>
      <w:pPr>
        <w:pStyle w:val="97"/>
        <w:spacing w:line="460" w:lineRule="exact"/>
        <w:ind w:firstLine="420" w:firstLineChars="175"/>
        <w:rPr>
          <w:sz w:val="24"/>
          <w:szCs w:val="24"/>
        </w:rPr>
      </w:pPr>
      <w:r>
        <w:rPr>
          <w:rFonts w:hint="eastAsia"/>
          <w:sz w:val="24"/>
          <w:szCs w:val="24"/>
        </w:rPr>
        <w:t xml:space="preserve">（1）投标人在开标后和投标有效期满之前撤销投标的； </w:t>
      </w:r>
    </w:p>
    <w:p>
      <w:pPr>
        <w:pStyle w:val="97"/>
        <w:spacing w:line="460" w:lineRule="exact"/>
        <w:rPr>
          <w:sz w:val="24"/>
          <w:szCs w:val="24"/>
        </w:rPr>
      </w:pPr>
      <w:r>
        <w:rPr>
          <w:rFonts w:hint="eastAsia"/>
          <w:sz w:val="24"/>
          <w:szCs w:val="24"/>
        </w:rPr>
        <w:t xml:space="preserve">（2）投标人在收到中标通知后，不能或拒绝在中标通知书规定的时间内与贵方签订合同； </w:t>
      </w:r>
    </w:p>
    <w:p>
      <w:pPr>
        <w:pStyle w:val="97"/>
        <w:spacing w:line="460" w:lineRule="exact"/>
        <w:rPr>
          <w:sz w:val="24"/>
          <w:szCs w:val="24"/>
        </w:rPr>
      </w:pPr>
      <w:r>
        <w:rPr>
          <w:rFonts w:hint="eastAsia"/>
          <w:sz w:val="24"/>
          <w:szCs w:val="24"/>
        </w:rPr>
        <w:t>（3）投标人在与贵方签订合同后，未在规定的时间内提交符合招标文件要求的履约担保；</w:t>
      </w:r>
    </w:p>
    <w:p>
      <w:pPr>
        <w:pStyle w:val="97"/>
        <w:spacing w:line="460" w:lineRule="exact"/>
        <w:rPr>
          <w:sz w:val="24"/>
          <w:szCs w:val="24"/>
        </w:rPr>
      </w:pPr>
      <w:r>
        <w:rPr>
          <w:rFonts w:hint="eastAsia"/>
          <w:sz w:val="24"/>
          <w:szCs w:val="24"/>
        </w:rPr>
        <w:t>（4）投标人违反招标文件规定的其他情形。</w:t>
      </w:r>
    </w:p>
    <w:p>
      <w:pPr>
        <w:spacing w:line="460" w:lineRule="exact"/>
        <w:ind w:firstLine="480" w:firstLineChars="200"/>
        <w:rPr>
          <w:sz w:val="24"/>
          <w:szCs w:val="24"/>
        </w:rPr>
      </w:pPr>
      <w:r>
        <w:rPr>
          <w:rFonts w:hint="eastAsia"/>
          <w:sz w:val="24"/>
          <w:szCs w:val="24"/>
        </w:rPr>
        <w:t>三、本保函为不可撤销、不可转让的见索即付独立保函。本保函有效期自开立之日起至投标有效期届满之日后的</w:t>
      </w:r>
      <w:r>
        <w:rPr>
          <w:rFonts w:hint="eastAsia"/>
          <w:sz w:val="24"/>
          <w:szCs w:val="24"/>
          <w:u w:val="single"/>
        </w:rPr>
        <w:t xml:space="preserve"> 7 </w:t>
      </w:r>
      <w:r>
        <w:rPr>
          <w:rFonts w:hint="eastAsia"/>
          <w:sz w:val="24"/>
          <w:szCs w:val="24"/>
        </w:rPr>
        <w:t>日。投标有效期延长的，本保函有效期相应顺延，最迟不超过</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460" w:lineRule="exact"/>
        <w:ind w:firstLine="480"/>
        <w:rPr>
          <w:sz w:val="24"/>
          <w:szCs w:val="24"/>
        </w:rPr>
      </w:pPr>
      <w:r>
        <w:rPr>
          <w:rFonts w:hint="eastAsia"/>
          <w:sz w:val="24"/>
          <w:szCs w:val="24"/>
        </w:rPr>
        <w:t>四、我方承诺，在收到受益人发来的书面付款通知后的</w:t>
      </w:r>
      <w:r>
        <w:rPr>
          <w:rFonts w:hint="eastAsia"/>
          <w:sz w:val="24"/>
          <w:szCs w:val="24"/>
          <w:u w:val="single"/>
        </w:rPr>
        <w:t xml:space="preserve"> 7 </w:t>
      </w:r>
      <w:r>
        <w:rPr>
          <w:rFonts w:hint="eastAsia"/>
          <w:sz w:val="24"/>
          <w:szCs w:val="24"/>
        </w:rPr>
        <w:t>日内无条件支付，前述书面付款通知即为付款要求之单据，且应满足以下要求：</w:t>
      </w:r>
    </w:p>
    <w:p>
      <w:pPr>
        <w:spacing w:line="460" w:lineRule="exact"/>
        <w:ind w:firstLine="480"/>
        <w:rPr>
          <w:sz w:val="24"/>
          <w:szCs w:val="24"/>
        </w:rPr>
      </w:pPr>
      <w:r>
        <w:rPr>
          <w:rFonts w:hint="eastAsia"/>
          <w:sz w:val="24"/>
          <w:szCs w:val="24"/>
        </w:rPr>
        <w:t>（1）付款通知到达的日期在本保函的有效期内；</w:t>
      </w:r>
    </w:p>
    <w:p>
      <w:pPr>
        <w:spacing w:line="460" w:lineRule="exact"/>
        <w:ind w:firstLine="480"/>
        <w:rPr>
          <w:sz w:val="24"/>
          <w:szCs w:val="24"/>
        </w:rPr>
      </w:pPr>
      <w:r>
        <w:rPr>
          <w:rFonts w:hint="eastAsia"/>
          <w:sz w:val="24"/>
          <w:szCs w:val="24"/>
        </w:rPr>
        <w:t>（2）载明要求支付的金额；</w:t>
      </w:r>
    </w:p>
    <w:p>
      <w:pPr>
        <w:spacing w:line="460" w:lineRule="exact"/>
        <w:ind w:firstLine="480"/>
        <w:rPr>
          <w:sz w:val="24"/>
          <w:szCs w:val="24"/>
        </w:rPr>
      </w:pPr>
      <w:r>
        <w:rPr>
          <w:rFonts w:hint="eastAsia"/>
          <w:sz w:val="24"/>
          <w:szCs w:val="24"/>
        </w:rPr>
        <w:t>（3）载明申请人违反招投标文件规定的义务内容和具体条款；</w:t>
      </w:r>
    </w:p>
    <w:p>
      <w:pPr>
        <w:spacing w:line="460" w:lineRule="exact"/>
        <w:ind w:firstLine="480"/>
        <w:rPr>
          <w:sz w:val="24"/>
          <w:szCs w:val="24"/>
        </w:rPr>
      </w:pPr>
      <w:r>
        <w:rPr>
          <w:rFonts w:hint="eastAsia"/>
          <w:sz w:val="24"/>
          <w:szCs w:val="24"/>
        </w:rPr>
        <w:t>（4）声明不存在招标文件规定或我国法律规定免除申请人或我方支付责任的情形；</w:t>
      </w:r>
    </w:p>
    <w:p>
      <w:pPr>
        <w:spacing w:line="460" w:lineRule="exact"/>
        <w:ind w:firstLine="480"/>
        <w:rPr>
          <w:sz w:val="24"/>
          <w:szCs w:val="24"/>
        </w:rPr>
      </w:pPr>
      <w:r>
        <w:rPr>
          <w:rFonts w:hint="eastAsia"/>
          <w:sz w:val="24"/>
          <w:szCs w:val="24"/>
        </w:rPr>
        <w:t>（5）书面付款通知应在本保函有效期内到达的地址是：</w:t>
      </w:r>
      <w:r>
        <w:rPr>
          <w:rFonts w:hint="eastAsia"/>
          <w:sz w:val="24"/>
          <w:szCs w:val="24"/>
          <w:u w:val="single"/>
        </w:rPr>
        <w:t xml:space="preserve">           </w:t>
      </w:r>
      <w:r>
        <w:rPr>
          <w:rFonts w:hint="eastAsia"/>
          <w:sz w:val="24"/>
          <w:szCs w:val="24"/>
        </w:rPr>
        <w:t>。</w:t>
      </w:r>
    </w:p>
    <w:p>
      <w:pPr>
        <w:spacing w:line="460" w:lineRule="exact"/>
        <w:rPr>
          <w:sz w:val="24"/>
          <w:szCs w:val="24"/>
        </w:rPr>
      </w:pPr>
      <w:r>
        <w:rPr>
          <w:rFonts w:hint="eastAsia"/>
          <w:sz w:val="24"/>
          <w:szCs w:val="24"/>
        </w:rPr>
        <w:t xml:space="preserve">    受益人发出的书面付款通知应由其为鉴明受益人法定代表人（负责人）或授权代理人签字并加盖公章。</w:t>
      </w:r>
    </w:p>
    <w:p>
      <w:pPr>
        <w:spacing w:line="460" w:lineRule="exact"/>
        <w:ind w:firstLine="480" w:firstLineChars="200"/>
        <w:rPr>
          <w:sz w:val="24"/>
          <w:szCs w:val="24"/>
        </w:rPr>
      </w:pPr>
      <w:r>
        <w:rPr>
          <w:rFonts w:hint="eastAsia"/>
          <w:sz w:val="24"/>
          <w:szCs w:val="24"/>
        </w:rPr>
        <w:t xml:space="preserve">五、本保函项下的权利不得转让，不得设定担保。贵方未经我方书面同意转让本保函或其项下任何权利，对我方不发生法律效力。 </w:t>
      </w:r>
    </w:p>
    <w:p>
      <w:pPr>
        <w:spacing w:line="460" w:lineRule="exact"/>
        <w:ind w:firstLine="480" w:firstLineChars="200"/>
        <w:rPr>
          <w:sz w:val="24"/>
          <w:szCs w:val="24"/>
        </w:rPr>
      </w:pPr>
      <w:r>
        <w:rPr>
          <w:rFonts w:hint="eastAsia"/>
          <w:sz w:val="24"/>
          <w:szCs w:val="24"/>
        </w:rPr>
        <w:t xml:space="preserve">六、本保函项下的基础交易不成立、不生效、无效、被撤销、被解除，不影响本保函的独立有效。 </w:t>
      </w:r>
    </w:p>
    <w:p>
      <w:pPr>
        <w:spacing w:line="460" w:lineRule="exact"/>
        <w:ind w:firstLine="480" w:firstLineChars="200"/>
        <w:rPr>
          <w:sz w:val="24"/>
          <w:szCs w:val="24"/>
        </w:rPr>
      </w:pPr>
      <w:r>
        <w:rPr>
          <w:rFonts w:hint="eastAsia"/>
          <w:sz w:val="24"/>
          <w:szCs w:val="24"/>
        </w:rPr>
        <w:t xml:space="preserve">七、受益人应在本保函到期后的七日内将本保函正本退回我方注销，但是不论受益人是否按此要求将本保函正本退回我方，我方在本保函项下的义务和责任均在保函有效期到期后自动消灭。 </w:t>
      </w:r>
    </w:p>
    <w:p>
      <w:pPr>
        <w:spacing w:line="460" w:lineRule="exact"/>
        <w:ind w:firstLine="480" w:firstLineChars="200"/>
        <w:rPr>
          <w:sz w:val="24"/>
          <w:szCs w:val="24"/>
        </w:rPr>
      </w:pPr>
      <w:r>
        <w:rPr>
          <w:rFonts w:hint="eastAsia"/>
          <w:sz w:val="24"/>
          <w:szCs w:val="24"/>
        </w:rPr>
        <w:t>八、本保函适用的法律为中华人民共和国法律，诉讼管辖地为中华人民共和国</w:t>
      </w:r>
      <w:r>
        <w:rPr>
          <w:rFonts w:hint="eastAsia"/>
          <w:sz w:val="24"/>
          <w:szCs w:val="24"/>
          <w:u w:val="single"/>
        </w:rPr>
        <w:t xml:space="preserve"> 受益人所在地人民法院  </w:t>
      </w:r>
      <w:r>
        <w:rPr>
          <w:rFonts w:hint="eastAsia"/>
          <w:sz w:val="24"/>
          <w:szCs w:val="24"/>
        </w:rPr>
        <w:t xml:space="preserve">。 </w:t>
      </w:r>
    </w:p>
    <w:p>
      <w:pPr>
        <w:spacing w:line="460" w:lineRule="exact"/>
        <w:ind w:firstLine="480" w:firstLineChars="200"/>
        <w:rPr>
          <w:sz w:val="24"/>
          <w:szCs w:val="24"/>
        </w:rPr>
      </w:pPr>
      <w:r>
        <w:rPr>
          <w:rFonts w:hint="eastAsia"/>
          <w:sz w:val="24"/>
          <w:szCs w:val="24"/>
        </w:rPr>
        <w:t xml:space="preserve">九、本保函自我方法定代表人或授权代表签字并加盖公章之日起生效。 </w:t>
      </w:r>
    </w:p>
    <w:p>
      <w:pPr>
        <w:spacing w:line="460" w:lineRule="exact"/>
        <w:ind w:firstLine="480" w:firstLineChars="200"/>
        <w:rPr>
          <w:sz w:val="24"/>
          <w:szCs w:val="24"/>
        </w:rPr>
      </w:pPr>
      <w:r>
        <w:rPr>
          <w:rFonts w:hint="eastAsia"/>
          <w:sz w:val="24"/>
          <w:szCs w:val="24"/>
        </w:rPr>
        <w:t xml:space="preserve"> </w:t>
      </w:r>
    </w:p>
    <w:p>
      <w:pPr>
        <w:spacing w:line="460" w:lineRule="exact"/>
        <w:ind w:firstLine="480" w:firstLineChars="200"/>
        <w:rPr>
          <w:sz w:val="24"/>
          <w:szCs w:val="24"/>
        </w:rPr>
      </w:pPr>
      <w:r>
        <w:rPr>
          <w:rFonts w:hint="eastAsia"/>
          <w:sz w:val="24"/>
          <w:szCs w:val="24"/>
        </w:rPr>
        <w:t xml:space="preserve">开 立 人：                                （公章） </w:t>
      </w:r>
    </w:p>
    <w:p>
      <w:pPr>
        <w:spacing w:line="460" w:lineRule="exact"/>
        <w:ind w:firstLine="480" w:firstLineChars="200"/>
        <w:rPr>
          <w:sz w:val="24"/>
          <w:szCs w:val="24"/>
        </w:rPr>
      </w:pPr>
      <w:r>
        <w:rPr>
          <w:rFonts w:hint="eastAsia"/>
          <w:sz w:val="24"/>
          <w:szCs w:val="24"/>
        </w:rPr>
        <w:t xml:space="preserve">法定代表人（或授权代表） ：               （签字或签章） </w:t>
      </w:r>
    </w:p>
    <w:p>
      <w:pPr>
        <w:spacing w:line="460" w:lineRule="exact"/>
        <w:ind w:firstLine="480" w:firstLineChars="200"/>
        <w:rPr>
          <w:sz w:val="24"/>
          <w:szCs w:val="24"/>
        </w:rPr>
      </w:pPr>
      <w:r>
        <w:rPr>
          <w:rFonts w:hint="eastAsia"/>
          <w:sz w:val="24"/>
          <w:szCs w:val="24"/>
        </w:rPr>
        <w:t xml:space="preserve">地    址：                                       </w:t>
      </w:r>
    </w:p>
    <w:p>
      <w:pPr>
        <w:spacing w:line="460" w:lineRule="exact"/>
        <w:ind w:firstLine="480" w:firstLineChars="200"/>
        <w:rPr>
          <w:sz w:val="24"/>
          <w:szCs w:val="24"/>
        </w:rPr>
      </w:pPr>
      <w:r>
        <w:rPr>
          <w:rFonts w:hint="eastAsia"/>
          <w:sz w:val="24"/>
          <w:szCs w:val="24"/>
        </w:rPr>
        <w:t xml:space="preserve">邮政编码：                 </w:t>
      </w:r>
    </w:p>
    <w:p>
      <w:pPr>
        <w:spacing w:line="460" w:lineRule="exact"/>
        <w:ind w:firstLine="480" w:firstLineChars="200"/>
        <w:rPr>
          <w:sz w:val="24"/>
          <w:szCs w:val="24"/>
        </w:rPr>
      </w:pPr>
      <w:r>
        <w:rPr>
          <w:rFonts w:hint="eastAsia"/>
          <w:sz w:val="24"/>
          <w:szCs w:val="24"/>
        </w:rPr>
        <w:t xml:space="preserve">电    话：                 </w:t>
      </w:r>
    </w:p>
    <w:p>
      <w:pPr>
        <w:spacing w:line="460" w:lineRule="exact"/>
        <w:ind w:firstLine="480" w:firstLineChars="200"/>
        <w:rPr>
          <w:sz w:val="24"/>
          <w:szCs w:val="24"/>
        </w:rPr>
      </w:pPr>
      <w:r>
        <w:rPr>
          <w:rFonts w:hint="eastAsia"/>
          <w:sz w:val="24"/>
          <w:szCs w:val="24"/>
        </w:rPr>
        <w:t xml:space="preserve">传    真：                 </w:t>
      </w:r>
    </w:p>
    <w:p>
      <w:pPr>
        <w:spacing w:line="460" w:lineRule="exact"/>
        <w:ind w:firstLine="480" w:firstLineChars="200"/>
        <w:rPr>
          <w:sz w:val="24"/>
          <w:szCs w:val="24"/>
        </w:rPr>
      </w:pPr>
    </w:p>
    <w:p>
      <w:pPr>
        <w:spacing w:line="460" w:lineRule="exact"/>
        <w:ind w:firstLine="480" w:firstLineChars="200"/>
        <w:rPr>
          <w:sz w:val="24"/>
          <w:szCs w:val="24"/>
        </w:rPr>
      </w:pPr>
    </w:p>
    <w:p>
      <w:pPr>
        <w:spacing w:line="460" w:lineRule="exact"/>
        <w:ind w:firstLine="480" w:firstLineChars="200"/>
        <w:jc w:val="right"/>
      </w:pPr>
      <w:r>
        <w:rPr>
          <w:rFonts w:hint="eastAsia"/>
          <w:sz w:val="24"/>
          <w:szCs w:val="24"/>
        </w:rPr>
        <w:t>开立时间：      年      月   日</w:t>
      </w:r>
    </w:p>
    <w:p>
      <w:pPr>
        <w:pStyle w:val="2"/>
        <w:ind w:left="0" w:leftChars="0" w:firstLine="0" w:firstLineChars="0"/>
        <w:rPr>
          <w:rFonts w:asciiTheme="minorEastAsia" w:hAnsiTheme="minorEastAsia" w:eastAsiaTheme="minorEastAsia" w:cstheme="minorEastAsia"/>
          <w:b/>
          <w:bCs/>
          <w:szCs w:val="21"/>
        </w:rPr>
      </w:pPr>
    </w:p>
    <w:p>
      <w:pPr>
        <w:pStyle w:val="2"/>
        <w:rPr>
          <w:rFonts w:asciiTheme="minorEastAsia" w:hAnsiTheme="minorEastAsia" w:eastAsiaTheme="minorEastAsia" w:cstheme="minorEastAsia"/>
          <w:b/>
          <w:bCs/>
          <w:szCs w:val="21"/>
        </w:rPr>
        <w:sectPr>
          <w:footerReference r:id="rId9" w:type="default"/>
          <w:pgSz w:w="11910" w:h="16850"/>
          <w:pgMar w:top="1440" w:right="1800" w:bottom="1440" w:left="1800" w:header="0" w:footer="996" w:gutter="0"/>
          <w:cols w:space="720" w:num="1"/>
          <w:docGrid w:linePitch="299" w:charSpace="0"/>
        </w:sectPr>
      </w:pPr>
    </w:p>
    <w:p>
      <w:pPr>
        <w:pStyle w:val="6"/>
        <w:ind w:left="0" w:firstLine="0"/>
        <w:jc w:val="center"/>
        <w:rPr>
          <w:rFonts w:ascii="宋体" w:hAnsi="宋体" w:eastAsia="宋体" w:cs="宋体"/>
          <w:b/>
          <w:bCs/>
          <w:sz w:val="28"/>
          <w:szCs w:val="21"/>
        </w:rPr>
      </w:pPr>
      <w:bookmarkStart w:id="1514" w:name="_Toc492365084"/>
      <w:bookmarkStart w:id="1515" w:name="_Toc498286140"/>
      <w:bookmarkStart w:id="1516" w:name="_Toc15353"/>
      <w:bookmarkStart w:id="1517" w:name="_Toc11935"/>
      <w:bookmarkStart w:id="1518" w:name="_Toc113958633"/>
      <w:bookmarkStart w:id="1519" w:name="_Toc498286141"/>
      <w:bookmarkStart w:id="1520" w:name="_Toc23480"/>
      <w:bookmarkStart w:id="1521" w:name="_Toc492365089"/>
      <w:r>
        <w:rPr>
          <w:rFonts w:hint="eastAsia" w:ascii="宋体" w:hAnsi="宋体" w:eastAsia="宋体" w:cs="宋体"/>
          <w:b/>
          <w:bCs/>
          <w:sz w:val="28"/>
          <w:szCs w:val="21"/>
        </w:rPr>
        <w:t>五、</w:t>
      </w:r>
      <w:bookmarkEnd w:id="1514"/>
      <w:bookmarkEnd w:id="1515"/>
      <w:r>
        <w:rPr>
          <w:rFonts w:hint="eastAsia" w:ascii="宋体" w:hAnsi="宋体" w:eastAsia="宋体" w:cs="宋体"/>
          <w:b/>
          <w:bCs/>
          <w:sz w:val="28"/>
          <w:szCs w:val="21"/>
        </w:rPr>
        <w:t>施工方案</w:t>
      </w:r>
      <w:bookmarkEnd w:id="1516"/>
      <w:bookmarkEnd w:id="1517"/>
    </w:p>
    <w:p>
      <w:pPr/>
    </w:p>
    <w:p>
      <w:pPr>
        <w:spacing w:line="360" w:lineRule="auto"/>
        <w:rPr>
          <w:b/>
          <w:sz w:val="21"/>
          <w:szCs w:val="21"/>
        </w:rPr>
      </w:pPr>
      <w:r>
        <w:rPr>
          <w:rFonts w:hint="eastAsia"/>
          <w:b/>
          <w:sz w:val="21"/>
          <w:szCs w:val="21"/>
        </w:rPr>
        <w:t>按招标文件要求提供</w:t>
      </w:r>
    </w:p>
    <w:p>
      <w:pPr>
        <w:pStyle w:val="2"/>
      </w:pPr>
    </w:p>
    <w:p>
      <w:pPr>
        <w:pStyle w:val="2"/>
      </w:pPr>
    </w:p>
    <w:p>
      <w:pPr>
        <w:pStyle w:val="6"/>
        <w:ind w:left="0" w:firstLine="0"/>
        <w:jc w:val="center"/>
        <w:rPr>
          <w:rFonts w:ascii="宋体" w:hAnsi="宋体" w:eastAsia="宋体" w:cs="宋体"/>
          <w:b/>
          <w:bCs/>
          <w:sz w:val="28"/>
          <w:szCs w:val="21"/>
        </w:rPr>
      </w:pPr>
      <w:bookmarkStart w:id="1522" w:name="_Toc18175"/>
      <w:r>
        <w:rPr>
          <w:rFonts w:hint="eastAsia" w:ascii="宋体" w:hAnsi="宋体" w:eastAsia="宋体" w:cs="宋体"/>
          <w:b/>
          <w:bCs/>
          <w:sz w:val="28"/>
          <w:szCs w:val="21"/>
        </w:rPr>
        <w:t>六、投标人设计方案</w:t>
      </w:r>
      <w:bookmarkEnd w:id="1522"/>
    </w:p>
    <w:p>
      <w:pPr/>
    </w:p>
    <w:p>
      <w:pPr>
        <w:spacing w:line="360" w:lineRule="auto"/>
        <w:rPr>
          <w:b/>
          <w:sz w:val="21"/>
          <w:szCs w:val="21"/>
        </w:rPr>
      </w:pPr>
      <w:r>
        <w:rPr>
          <w:rFonts w:hint="eastAsia"/>
          <w:b/>
          <w:sz w:val="21"/>
          <w:szCs w:val="21"/>
        </w:rPr>
        <w:t>按招标文件要求提供</w:t>
      </w:r>
    </w:p>
    <w:p>
      <w:pPr>
        <w:pStyle w:val="2"/>
        <w:sectPr>
          <w:pgSz w:w="11910" w:h="16850"/>
          <w:pgMar w:top="1440" w:right="1800" w:bottom="1440" w:left="1800" w:header="0" w:footer="996" w:gutter="0"/>
          <w:cols w:space="720" w:num="1"/>
          <w:docGrid w:linePitch="299" w:charSpace="0"/>
        </w:sectPr>
      </w:pPr>
    </w:p>
    <w:p>
      <w:pPr>
        <w:pStyle w:val="6"/>
        <w:spacing w:line="360" w:lineRule="auto"/>
        <w:ind w:left="0" w:firstLine="0"/>
        <w:jc w:val="center"/>
        <w:rPr>
          <w:rFonts w:asciiTheme="minorEastAsia" w:hAnsiTheme="minorEastAsia" w:eastAsiaTheme="minorEastAsia" w:cstheme="minorEastAsia"/>
          <w:sz w:val="21"/>
          <w:szCs w:val="21"/>
        </w:rPr>
      </w:pPr>
      <w:bookmarkStart w:id="1523" w:name="_Toc16649"/>
      <w:r>
        <w:rPr>
          <w:rFonts w:hint="eastAsia" w:asciiTheme="minorEastAsia" w:hAnsiTheme="minorEastAsia" w:eastAsiaTheme="minorEastAsia" w:cstheme="minorEastAsia"/>
          <w:b/>
          <w:bCs/>
          <w:sz w:val="28"/>
          <w:szCs w:val="21"/>
        </w:rPr>
        <w:t>七、</w:t>
      </w:r>
      <w:bookmarkStart w:id="1524" w:name="_Toc247514299"/>
      <w:bookmarkStart w:id="1525" w:name="_Toc152042596"/>
      <w:bookmarkStart w:id="1526" w:name="_Toc144974875"/>
      <w:bookmarkStart w:id="1527" w:name="_Toc152045807"/>
      <w:bookmarkStart w:id="1528" w:name="_Toc247527847"/>
      <w:r>
        <w:rPr>
          <w:rFonts w:hint="eastAsia" w:asciiTheme="minorEastAsia" w:hAnsiTheme="minorEastAsia" w:eastAsiaTheme="minorEastAsia" w:cstheme="minorEastAsia"/>
          <w:b/>
          <w:bCs/>
          <w:sz w:val="28"/>
          <w:szCs w:val="21"/>
        </w:rPr>
        <w:t>资格审查资料</w:t>
      </w:r>
      <w:bookmarkEnd w:id="1518"/>
      <w:bookmarkEnd w:id="1519"/>
      <w:bookmarkEnd w:id="1520"/>
      <w:bookmarkEnd w:id="1521"/>
      <w:bookmarkEnd w:id="1523"/>
      <w:bookmarkEnd w:id="1524"/>
      <w:bookmarkEnd w:id="1525"/>
      <w:bookmarkEnd w:id="1526"/>
      <w:bookmarkEnd w:id="1527"/>
      <w:bookmarkEnd w:id="1528"/>
    </w:p>
    <w:p>
      <w:pPr>
        <w:pStyle w:val="7"/>
        <w:spacing w:line="360" w:lineRule="auto"/>
        <w:ind w:left="0" w:firstLine="0"/>
        <w:jc w:val="center"/>
        <w:rPr>
          <w:rFonts w:asciiTheme="minorEastAsia" w:hAnsiTheme="minorEastAsia" w:eastAsiaTheme="minorEastAsia" w:cstheme="minorEastAsia"/>
          <w:sz w:val="21"/>
          <w:szCs w:val="21"/>
        </w:rPr>
      </w:pPr>
      <w:bookmarkStart w:id="1529" w:name="_Toc144974876"/>
      <w:bookmarkStart w:id="1530" w:name="_Toc492365090"/>
      <w:bookmarkStart w:id="1531" w:name="_Toc30043"/>
      <w:bookmarkStart w:id="1532" w:name="_Toc26454"/>
      <w:bookmarkStart w:id="1533" w:name="_Toc247514300"/>
      <w:bookmarkStart w:id="1534" w:name="_Toc247527848"/>
      <w:bookmarkStart w:id="1535" w:name="_Toc490064376"/>
      <w:bookmarkStart w:id="1536" w:name="_Toc152042597"/>
      <w:bookmarkStart w:id="1537" w:name="_Toc488398195"/>
      <w:bookmarkStart w:id="1538" w:name="_Toc152045808"/>
      <w:bookmarkStart w:id="1539" w:name="_Toc113958634"/>
      <w:r>
        <w:rPr>
          <w:rFonts w:hint="eastAsia" w:asciiTheme="minorEastAsia" w:hAnsiTheme="minorEastAsia" w:eastAsiaTheme="minorEastAsia" w:cstheme="minorEastAsia"/>
          <w:sz w:val="21"/>
          <w:szCs w:val="21"/>
        </w:rPr>
        <w:t>（一）投标人基本情况表</w:t>
      </w:r>
      <w:bookmarkEnd w:id="1529"/>
      <w:bookmarkEnd w:id="1530"/>
      <w:bookmarkEnd w:id="1531"/>
      <w:bookmarkEnd w:id="1532"/>
      <w:bookmarkEnd w:id="1533"/>
      <w:bookmarkEnd w:id="1534"/>
      <w:bookmarkEnd w:id="1535"/>
      <w:bookmarkEnd w:id="1536"/>
      <w:bookmarkEnd w:id="1537"/>
      <w:bookmarkEnd w:id="1538"/>
      <w:bookmarkEnd w:id="1539"/>
    </w:p>
    <w:tbl>
      <w:tblPr>
        <w:tblStyle w:val="47"/>
        <w:tblW w:w="91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15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投标人名称</w:t>
            </w:r>
          </w:p>
        </w:tc>
        <w:tc>
          <w:tcPr>
            <w:tcW w:w="7377" w:type="dxa"/>
            <w:gridSpan w:val="9"/>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 址</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组织结构</w:t>
            </w:r>
          </w:p>
        </w:tc>
        <w:tc>
          <w:tcPr>
            <w:tcW w:w="7377" w:type="dxa"/>
            <w:gridSpan w:val="9"/>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52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c>
          <w:tcPr>
            <w:tcW w:w="1529"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5528" w:type="dxa"/>
            <w:gridSpan w:val="7"/>
            <w:tcBorders>
              <w:top w:val="single" w:color="auto" w:sz="4" w:space="0"/>
              <w:left w:val="single" w:color="auto" w:sz="4" w:space="0"/>
              <w:bottom w:val="single" w:color="auto" w:sz="4" w:space="0"/>
              <w:right w:val="single" w:color="auto" w:sz="4" w:space="0"/>
            </w:tcBorders>
            <w:vAlign w:val="center"/>
          </w:tcPr>
          <w:p>
            <w:pPr>
              <w:topLinePunct/>
              <w:ind w:firstLine="105" w:firstLineChars="5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高级职称人员</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中级职称人员</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初级职称人员</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技工</w:t>
            </w:r>
          </w:p>
        </w:tc>
        <w:tc>
          <w:tcPr>
            <w:tcW w:w="2389"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jc w:val="center"/>
        </w:trPr>
        <w:tc>
          <w:tcPr>
            <w:tcW w:w="1728" w:type="dxa"/>
            <w:tcBorders>
              <w:top w:val="single" w:color="auto" w:sz="4" w:space="0"/>
              <w:left w:val="single" w:color="auto" w:sz="4" w:space="0"/>
              <w:right w:val="single" w:color="auto" w:sz="4" w:space="0"/>
            </w:tcBorders>
            <w:vAlign w:val="center"/>
          </w:tcPr>
          <w:p>
            <w:pPr>
              <w:topLinePunct/>
              <w:ind w:firstLine="210" w:firstLineChars="10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经营范围</w:t>
            </w:r>
          </w:p>
        </w:tc>
        <w:tc>
          <w:tcPr>
            <w:tcW w:w="7377" w:type="dxa"/>
            <w:gridSpan w:val="9"/>
            <w:tcBorders>
              <w:top w:val="single" w:color="auto" w:sz="4" w:space="0"/>
              <w:left w:val="single" w:color="auto" w:sz="4" w:space="0"/>
              <w:right w:val="single" w:color="auto" w:sz="4" w:space="0"/>
            </w:tcBorders>
            <w:vAlign w:val="center"/>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7377" w:type="dxa"/>
            <w:gridSpan w:val="9"/>
            <w:tcBorders>
              <w:top w:val="single" w:color="auto" w:sz="4" w:space="0"/>
              <w:left w:val="single" w:color="auto" w:sz="4" w:space="0"/>
              <w:bottom w:val="single" w:color="auto" w:sz="4" w:space="0"/>
              <w:right w:val="single" w:color="auto" w:sz="4" w:space="0"/>
            </w:tcBorders>
            <w:vAlign w:val="center"/>
          </w:tcPr>
          <w:p>
            <w:pPr>
              <w:topLinePunct/>
              <w:jc w:val="center"/>
              <w:rPr>
                <w:rFonts w:asciiTheme="minorEastAsia" w:hAnsiTheme="minorEastAsia" w:eastAsiaTheme="minorEastAsia" w:cstheme="minorEastAsia"/>
                <w:sz w:val="21"/>
                <w:szCs w:val="21"/>
              </w:rPr>
            </w:pPr>
          </w:p>
        </w:tc>
      </w:tr>
    </w:tbl>
    <w:p>
      <w:pPr>
        <w:pStyle w:val="7"/>
        <w:spacing w:line="360" w:lineRule="auto"/>
        <w:ind w:left="0" w:firstLine="0"/>
        <w:jc w:val="center"/>
        <w:rPr>
          <w:rFonts w:asciiTheme="minorEastAsia" w:hAnsiTheme="minorEastAsia" w:eastAsiaTheme="minorEastAsia" w:cstheme="minorEastAsia"/>
          <w:sz w:val="21"/>
          <w:szCs w:val="21"/>
        </w:rPr>
      </w:pPr>
      <w:bookmarkStart w:id="1540" w:name="_Toc247527850"/>
      <w:bookmarkStart w:id="1541" w:name="_Toc247514302"/>
      <w:bookmarkStart w:id="1542" w:name="_Toc152045810"/>
      <w:bookmarkStart w:id="1543" w:name="_Toc144974878"/>
      <w:bookmarkStart w:id="1544" w:name="_Toc152042599"/>
      <w:r>
        <w:rPr>
          <w:rFonts w:hint="eastAsia" w:asciiTheme="minorEastAsia" w:hAnsiTheme="minorEastAsia" w:eastAsiaTheme="minorEastAsia" w:cstheme="minorEastAsia"/>
          <w:sz w:val="21"/>
          <w:szCs w:val="21"/>
        </w:rPr>
        <w:br w:type="page"/>
      </w:r>
      <w:bookmarkStart w:id="1545" w:name="_Toc492365092"/>
      <w:bookmarkStart w:id="1546" w:name="_Toc490064378"/>
      <w:bookmarkStart w:id="1547" w:name="_Toc488398197"/>
      <w:bookmarkStart w:id="1548" w:name="_Toc113958635"/>
      <w:bookmarkStart w:id="1549" w:name="_Toc27969"/>
      <w:bookmarkStart w:id="1550" w:name="_Toc17570"/>
      <w:r>
        <w:rPr>
          <w:rFonts w:hint="eastAsia" w:asciiTheme="minorEastAsia" w:hAnsiTheme="minorEastAsia" w:eastAsiaTheme="minorEastAsia" w:cstheme="minorEastAsia"/>
          <w:sz w:val="21"/>
          <w:szCs w:val="21"/>
        </w:rPr>
        <w:t>（二）近年类似建筑工程项目情况表</w:t>
      </w:r>
      <w:bookmarkEnd w:id="1540"/>
      <w:bookmarkEnd w:id="1541"/>
      <w:bookmarkEnd w:id="1542"/>
      <w:bookmarkEnd w:id="1543"/>
      <w:bookmarkEnd w:id="1544"/>
      <w:bookmarkEnd w:id="1545"/>
      <w:bookmarkEnd w:id="1546"/>
      <w:bookmarkEnd w:id="1547"/>
      <w:bookmarkEnd w:id="1548"/>
      <w:bookmarkEnd w:id="1549"/>
      <w:bookmarkEnd w:id="1550"/>
    </w:p>
    <w:tbl>
      <w:tblPr>
        <w:tblStyle w:val="4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项目所在地</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发包人名称</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发包人地址</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发包人电话</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合同价格</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开工日期</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竣工日期</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承担的工作</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技术负责人</w:t>
            </w:r>
          </w:p>
        </w:tc>
        <w:tc>
          <w:tcPr>
            <w:tcW w:w="6194"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项目描述</w:t>
            </w:r>
          </w:p>
        </w:tc>
        <w:tc>
          <w:tcPr>
            <w:tcW w:w="6194" w:type="dxa"/>
          </w:tcPr>
          <w:p>
            <w:pPr>
              <w:topLinePunct/>
              <w:rPr>
                <w:rFonts w:asciiTheme="minorEastAsia" w:hAnsiTheme="minorEastAsia" w:eastAsiaTheme="minorEastAsia" w:cstheme="minorEastAsia"/>
                <w:sz w:val="21"/>
                <w:szCs w:val="21"/>
              </w:rPr>
            </w:pPr>
          </w:p>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6194" w:type="dxa"/>
          </w:tcPr>
          <w:p>
            <w:pPr>
              <w:topLinePunct/>
              <w:rPr>
                <w:rFonts w:asciiTheme="minorEastAsia" w:hAnsiTheme="minorEastAsia" w:eastAsiaTheme="minorEastAsia" w:cstheme="minorEastAsia"/>
                <w:sz w:val="21"/>
                <w:szCs w:val="21"/>
              </w:rPr>
            </w:pPr>
          </w:p>
        </w:tc>
      </w:tr>
    </w:tbl>
    <w:p>
      <w:pPr>
        <w:spacing w:line="440" w:lineRule="exact"/>
        <w:rPr>
          <w:rFonts w:asciiTheme="minorEastAsia" w:hAnsiTheme="minorEastAsia" w:eastAsiaTheme="minorEastAsia" w:cstheme="minorEastAsia"/>
          <w:sz w:val="21"/>
          <w:szCs w:val="21"/>
        </w:rPr>
      </w:pPr>
      <w:bookmarkStart w:id="1551" w:name="_Toc144974879"/>
      <w:bookmarkStart w:id="1552" w:name="_Toc247514303"/>
      <w:bookmarkStart w:id="1553" w:name="_Toc152042600"/>
      <w:bookmarkStart w:id="1554" w:name="_Toc247527851"/>
      <w:bookmarkStart w:id="1555" w:name="_Toc152045811"/>
    </w:p>
    <w:p>
      <w:pPr>
        <w:spacing w:line="440" w:lineRule="exact"/>
        <w:rPr>
          <w:rFonts w:asciiTheme="minorEastAsia" w:hAnsiTheme="minorEastAsia" w:eastAsiaTheme="minorEastAsia" w:cstheme="minorEastAsia"/>
          <w:sz w:val="21"/>
          <w:szCs w:val="21"/>
        </w:rPr>
      </w:pPr>
    </w:p>
    <w:p>
      <w:pPr>
        <w:pStyle w:val="7"/>
        <w:spacing w:line="360" w:lineRule="auto"/>
        <w:ind w:left="0" w:firstLine="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bookmarkStart w:id="1556" w:name="_Toc490064379"/>
      <w:bookmarkStart w:id="1557" w:name="_Toc492365093"/>
      <w:bookmarkStart w:id="1558" w:name="_Toc113958636"/>
      <w:bookmarkStart w:id="1559" w:name="_Toc4714"/>
      <w:bookmarkStart w:id="1560" w:name="_Toc488398198"/>
      <w:bookmarkStart w:id="1561" w:name="_Toc10808"/>
      <w:r>
        <w:rPr>
          <w:rFonts w:hint="eastAsia" w:asciiTheme="minorEastAsia" w:hAnsiTheme="minorEastAsia" w:eastAsiaTheme="minorEastAsia" w:cstheme="minorEastAsia"/>
          <w:sz w:val="21"/>
          <w:szCs w:val="21"/>
        </w:rPr>
        <w:t>（三）正在实施的和新承接的项目情况表</w:t>
      </w:r>
      <w:bookmarkEnd w:id="1551"/>
      <w:bookmarkEnd w:id="1552"/>
      <w:bookmarkEnd w:id="1553"/>
      <w:bookmarkEnd w:id="1554"/>
      <w:bookmarkEnd w:id="1555"/>
      <w:bookmarkEnd w:id="1556"/>
      <w:bookmarkEnd w:id="1557"/>
      <w:bookmarkEnd w:id="1558"/>
      <w:bookmarkEnd w:id="1559"/>
      <w:bookmarkEnd w:id="1560"/>
      <w:bookmarkEnd w:id="1561"/>
    </w:p>
    <w:tbl>
      <w:tblPr>
        <w:tblStyle w:val="47"/>
        <w:tblW w:w="8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项目所在地</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发包人名称</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发包人地址</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发包人电话</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签约合同价</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开工日期</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计划竣工日期</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承担的工作</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工程质量</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技术负责人</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项目描述</w:t>
            </w:r>
          </w:p>
        </w:tc>
        <w:tc>
          <w:tcPr>
            <w:tcW w:w="6097" w:type="dxa"/>
          </w:tcPr>
          <w:p>
            <w:pPr>
              <w:topLinePunct/>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119" w:type="dxa"/>
            <w:vAlign w:val="center"/>
          </w:tcPr>
          <w:p>
            <w:pPr>
              <w:topLinePun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c>
          <w:tcPr>
            <w:tcW w:w="6097" w:type="dxa"/>
          </w:tcPr>
          <w:p>
            <w:pPr>
              <w:topLinePunct/>
              <w:rPr>
                <w:rFonts w:asciiTheme="minorEastAsia" w:hAnsiTheme="minorEastAsia" w:eastAsiaTheme="minorEastAsia" w:cstheme="minorEastAsia"/>
                <w:sz w:val="21"/>
                <w:szCs w:val="21"/>
              </w:rPr>
            </w:pPr>
          </w:p>
        </w:tc>
      </w:tr>
    </w:tbl>
    <w:p>
      <w:pPr>
        <w:spacing w:line="440" w:lineRule="exact"/>
        <w:rPr>
          <w:rFonts w:asciiTheme="minorEastAsia" w:hAnsiTheme="minorEastAsia" w:eastAsiaTheme="minorEastAsia" w:cstheme="minorEastAsia"/>
          <w:sz w:val="21"/>
          <w:szCs w:val="21"/>
        </w:rPr>
      </w:pPr>
      <w:bookmarkStart w:id="1562" w:name="_Toc152042601"/>
      <w:bookmarkStart w:id="1563" w:name="_Toc247514304"/>
      <w:bookmarkStart w:id="1564" w:name="_Toc152045812"/>
      <w:bookmarkStart w:id="1565" w:name="_Toc247527852"/>
      <w:bookmarkStart w:id="1566" w:name="_Toc144974880"/>
    </w:p>
    <w:p>
      <w:pPr>
        <w:spacing w:line="440" w:lineRule="exact"/>
        <w:rPr>
          <w:rFonts w:asciiTheme="minorEastAsia" w:hAnsiTheme="minorEastAsia" w:eastAsiaTheme="minorEastAsia" w:cstheme="minorEastAsia"/>
          <w:sz w:val="21"/>
          <w:szCs w:val="21"/>
        </w:rPr>
      </w:pPr>
    </w:p>
    <w:bookmarkEnd w:id="1562"/>
    <w:bookmarkEnd w:id="1563"/>
    <w:bookmarkEnd w:id="1564"/>
    <w:bookmarkEnd w:id="1565"/>
    <w:bookmarkEnd w:id="1566"/>
    <w:p>
      <w:pPr>
        <w:spacing w:line="440" w:lineRule="exact"/>
        <w:rPr>
          <w:rFonts w:asciiTheme="minorEastAsia" w:hAnsiTheme="minorEastAsia" w:eastAsiaTheme="minorEastAsia" w:cstheme="minorEastAsia"/>
          <w:sz w:val="21"/>
          <w:szCs w:val="21"/>
        </w:rPr>
      </w:pPr>
      <w:bookmarkStart w:id="1567" w:name="_Toc247530162"/>
      <w:bookmarkStart w:id="1568" w:name="_Toc152042602"/>
      <w:bookmarkStart w:id="1569" w:name="_Toc144974881"/>
      <w:bookmarkStart w:id="1570" w:name="_Toc247527853"/>
      <w:bookmarkStart w:id="1571" w:name="_Toc152045813"/>
      <w:bookmarkStart w:id="1572" w:name="_Toc247514305"/>
    </w:p>
    <w:p>
      <w:pPr>
        <w:pStyle w:val="7"/>
        <w:spacing w:line="360" w:lineRule="auto"/>
        <w:ind w:left="0" w:firstLine="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bookmarkStart w:id="1573" w:name="_Toc18227"/>
      <w:bookmarkStart w:id="1574" w:name="_Toc23053"/>
      <w:bookmarkStart w:id="1575" w:name="_Toc488398199"/>
      <w:bookmarkStart w:id="1576" w:name="_Toc492365094"/>
      <w:bookmarkStart w:id="1577" w:name="_Toc490064380"/>
      <w:bookmarkStart w:id="1578" w:name="_Toc113958637"/>
      <w:r>
        <w:rPr>
          <w:rFonts w:hint="eastAsia" w:asciiTheme="minorEastAsia" w:hAnsiTheme="minorEastAsia" w:eastAsiaTheme="minorEastAsia" w:cstheme="minorEastAsia"/>
          <w:sz w:val="21"/>
          <w:szCs w:val="21"/>
        </w:rPr>
        <w:t>（四）拟投入本项目的主要施工设备表</w:t>
      </w:r>
      <w:bookmarkEnd w:id="1573"/>
      <w:bookmarkEnd w:id="1574"/>
      <w:bookmarkEnd w:id="1575"/>
      <w:bookmarkEnd w:id="1576"/>
      <w:bookmarkEnd w:id="1577"/>
      <w:bookmarkEnd w:id="1578"/>
    </w:p>
    <w:tbl>
      <w:tblPr>
        <w:tblStyle w:val="47"/>
        <w:tblW w:w="9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91"/>
        <w:gridCol w:w="835"/>
        <w:gridCol w:w="1087"/>
        <w:gridCol w:w="737"/>
        <w:gridCol w:w="810"/>
        <w:gridCol w:w="1330"/>
        <w:gridCol w:w="959"/>
        <w:gridCol w:w="115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9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8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规格</w:t>
            </w:r>
          </w:p>
        </w:tc>
        <w:tc>
          <w:tcPr>
            <w:tcW w:w="1087"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737"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国别</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产地</w:t>
            </w:r>
          </w:p>
        </w:tc>
        <w:tc>
          <w:tcPr>
            <w:tcW w:w="81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年份</w:t>
            </w:r>
          </w:p>
        </w:tc>
        <w:tc>
          <w:tcPr>
            <w:tcW w:w="1330"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额定功率（kW）</w:t>
            </w:r>
          </w:p>
        </w:tc>
        <w:tc>
          <w:tcPr>
            <w:tcW w:w="959"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能力</w:t>
            </w:r>
          </w:p>
        </w:tc>
        <w:tc>
          <w:tcPr>
            <w:tcW w:w="1157"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用于施工部位</w:t>
            </w:r>
          </w:p>
        </w:tc>
        <w:tc>
          <w:tcPr>
            <w:tcW w:w="110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vAlign w:val="center"/>
          </w:tcPr>
          <w:p>
            <w:pPr>
              <w:jc w:val="center"/>
              <w:rPr>
                <w:rFonts w:asciiTheme="minorEastAsia" w:hAnsiTheme="minorEastAsia" w:eastAsiaTheme="minorEastAsia" w:cstheme="minorEastAsia"/>
                <w:sz w:val="21"/>
                <w:szCs w:val="21"/>
              </w:rPr>
            </w:pPr>
          </w:p>
        </w:tc>
        <w:tc>
          <w:tcPr>
            <w:tcW w:w="1191" w:type="dxa"/>
            <w:vAlign w:val="center"/>
          </w:tcPr>
          <w:p>
            <w:pPr>
              <w:jc w:val="center"/>
              <w:rPr>
                <w:rFonts w:asciiTheme="minorEastAsia" w:hAnsiTheme="minorEastAsia" w:eastAsiaTheme="minorEastAsia" w:cstheme="minorEastAsia"/>
                <w:sz w:val="21"/>
                <w:szCs w:val="21"/>
              </w:rPr>
            </w:pPr>
          </w:p>
        </w:tc>
        <w:tc>
          <w:tcPr>
            <w:tcW w:w="835" w:type="dxa"/>
            <w:vAlign w:val="center"/>
          </w:tcPr>
          <w:p>
            <w:pPr>
              <w:jc w:val="center"/>
              <w:rPr>
                <w:rFonts w:asciiTheme="minorEastAsia" w:hAnsiTheme="minorEastAsia" w:eastAsiaTheme="minorEastAsia" w:cstheme="minorEastAsia"/>
                <w:sz w:val="21"/>
                <w:szCs w:val="21"/>
              </w:rPr>
            </w:pPr>
          </w:p>
        </w:tc>
        <w:tc>
          <w:tcPr>
            <w:tcW w:w="1087" w:type="dxa"/>
            <w:vAlign w:val="center"/>
          </w:tcPr>
          <w:p>
            <w:pPr>
              <w:jc w:val="center"/>
              <w:rPr>
                <w:rFonts w:asciiTheme="minorEastAsia" w:hAnsiTheme="minorEastAsia" w:eastAsiaTheme="minorEastAsia" w:cstheme="minorEastAsia"/>
                <w:sz w:val="21"/>
                <w:szCs w:val="21"/>
              </w:rPr>
            </w:pPr>
          </w:p>
        </w:tc>
        <w:tc>
          <w:tcPr>
            <w:tcW w:w="737" w:type="dxa"/>
            <w:vAlign w:val="center"/>
          </w:tcPr>
          <w:p>
            <w:pPr>
              <w:jc w:val="center"/>
              <w:rPr>
                <w:rFonts w:asciiTheme="minorEastAsia" w:hAnsiTheme="minorEastAsia" w:eastAsiaTheme="minorEastAsia" w:cstheme="minorEastAsia"/>
                <w:sz w:val="21"/>
                <w:szCs w:val="21"/>
              </w:rPr>
            </w:pPr>
          </w:p>
        </w:tc>
        <w:tc>
          <w:tcPr>
            <w:tcW w:w="810" w:type="dxa"/>
            <w:vAlign w:val="center"/>
          </w:tcPr>
          <w:p>
            <w:pPr>
              <w:jc w:val="center"/>
              <w:rPr>
                <w:rFonts w:asciiTheme="minorEastAsia" w:hAnsiTheme="minorEastAsia" w:eastAsiaTheme="minorEastAsia" w:cstheme="minorEastAsia"/>
                <w:sz w:val="21"/>
                <w:szCs w:val="21"/>
              </w:rPr>
            </w:pPr>
          </w:p>
        </w:tc>
        <w:tc>
          <w:tcPr>
            <w:tcW w:w="1330" w:type="dxa"/>
            <w:vAlign w:val="center"/>
          </w:tcPr>
          <w:p>
            <w:pPr>
              <w:jc w:val="center"/>
              <w:rPr>
                <w:rFonts w:asciiTheme="minorEastAsia" w:hAnsiTheme="minorEastAsia" w:eastAsiaTheme="minorEastAsia" w:cstheme="minorEastAsia"/>
                <w:sz w:val="21"/>
                <w:szCs w:val="21"/>
              </w:rPr>
            </w:pPr>
          </w:p>
        </w:tc>
        <w:tc>
          <w:tcPr>
            <w:tcW w:w="959" w:type="dxa"/>
            <w:vAlign w:val="center"/>
          </w:tcPr>
          <w:p>
            <w:pPr>
              <w:jc w:val="center"/>
              <w:rPr>
                <w:rFonts w:asciiTheme="minorEastAsia" w:hAnsiTheme="minorEastAsia" w:eastAsiaTheme="minorEastAsia" w:cstheme="minorEastAsia"/>
                <w:sz w:val="21"/>
                <w:szCs w:val="21"/>
              </w:rPr>
            </w:pPr>
          </w:p>
        </w:tc>
        <w:tc>
          <w:tcPr>
            <w:tcW w:w="1157" w:type="dxa"/>
            <w:vAlign w:val="center"/>
          </w:tcPr>
          <w:p>
            <w:pPr>
              <w:jc w:val="center"/>
              <w:rPr>
                <w:rFonts w:asciiTheme="minorEastAsia" w:hAnsiTheme="minorEastAsia" w:eastAsiaTheme="minorEastAsia" w:cstheme="minorEastAsia"/>
                <w:sz w:val="21"/>
                <w:szCs w:val="21"/>
              </w:rPr>
            </w:pPr>
          </w:p>
        </w:tc>
        <w:tc>
          <w:tcPr>
            <w:tcW w:w="1104"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vAlign w:val="center"/>
          </w:tcPr>
          <w:p>
            <w:pPr>
              <w:jc w:val="center"/>
              <w:rPr>
                <w:rFonts w:asciiTheme="minorEastAsia" w:hAnsiTheme="minorEastAsia" w:eastAsiaTheme="minorEastAsia" w:cstheme="minorEastAsia"/>
                <w:sz w:val="21"/>
                <w:szCs w:val="21"/>
              </w:rPr>
            </w:pPr>
          </w:p>
        </w:tc>
        <w:tc>
          <w:tcPr>
            <w:tcW w:w="1191" w:type="dxa"/>
            <w:vAlign w:val="center"/>
          </w:tcPr>
          <w:p>
            <w:pPr>
              <w:jc w:val="center"/>
              <w:rPr>
                <w:rFonts w:asciiTheme="minorEastAsia" w:hAnsiTheme="minorEastAsia" w:eastAsiaTheme="minorEastAsia" w:cstheme="minorEastAsia"/>
                <w:sz w:val="21"/>
                <w:szCs w:val="21"/>
              </w:rPr>
            </w:pPr>
          </w:p>
        </w:tc>
        <w:tc>
          <w:tcPr>
            <w:tcW w:w="835" w:type="dxa"/>
            <w:vAlign w:val="center"/>
          </w:tcPr>
          <w:p>
            <w:pPr>
              <w:jc w:val="center"/>
              <w:rPr>
                <w:rFonts w:asciiTheme="minorEastAsia" w:hAnsiTheme="minorEastAsia" w:eastAsiaTheme="minorEastAsia" w:cstheme="minorEastAsia"/>
                <w:sz w:val="21"/>
                <w:szCs w:val="21"/>
              </w:rPr>
            </w:pPr>
          </w:p>
        </w:tc>
        <w:tc>
          <w:tcPr>
            <w:tcW w:w="1087" w:type="dxa"/>
            <w:vAlign w:val="center"/>
          </w:tcPr>
          <w:p>
            <w:pPr>
              <w:jc w:val="center"/>
              <w:rPr>
                <w:rFonts w:asciiTheme="minorEastAsia" w:hAnsiTheme="minorEastAsia" w:eastAsiaTheme="minorEastAsia" w:cstheme="minorEastAsia"/>
                <w:sz w:val="21"/>
                <w:szCs w:val="21"/>
              </w:rPr>
            </w:pPr>
          </w:p>
        </w:tc>
        <w:tc>
          <w:tcPr>
            <w:tcW w:w="737" w:type="dxa"/>
            <w:vAlign w:val="center"/>
          </w:tcPr>
          <w:p>
            <w:pPr>
              <w:jc w:val="center"/>
              <w:rPr>
                <w:rFonts w:asciiTheme="minorEastAsia" w:hAnsiTheme="minorEastAsia" w:eastAsiaTheme="minorEastAsia" w:cstheme="minorEastAsia"/>
                <w:sz w:val="21"/>
                <w:szCs w:val="21"/>
              </w:rPr>
            </w:pPr>
          </w:p>
        </w:tc>
        <w:tc>
          <w:tcPr>
            <w:tcW w:w="810" w:type="dxa"/>
            <w:vAlign w:val="center"/>
          </w:tcPr>
          <w:p>
            <w:pPr>
              <w:jc w:val="center"/>
              <w:rPr>
                <w:rFonts w:asciiTheme="minorEastAsia" w:hAnsiTheme="minorEastAsia" w:eastAsiaTheme="minorEastAsia" w:cstheme="minorEastAsia"/>
                <w:sz w:val="21"/>
                <w:szCs w:val="21"/>
              </w:rPr>
            </w:pPr>
          </w:p>
        </w:tc>
        <w:tc>
          <w:tcPr>
            <w:tcW w:w="1330" w:type="dxa"/>
            <w:vAlign w:val="center"/>
          </w:tcPr>
          <w:p>
            <w:pPr>
              <w:jc w:val="center"/>
              <w:rPr>
                <w:rFonts w:asciiTheme="minorEastAsia" w:hAnsiTheme="minorEastAsia" w:eastAsiaTheme="minorEastAsia" w:cstheme="minorEastAsia"/>
                <w:sz w:val="21"/>
                <w:szCs w:val="21"/>
              </w:rPr>
            </w:pPr>
          </w:p>
        </w:tc>
        <w:tc>
          <w:tcPr>
            <w:tcW w:w="959" w:type="dxa"/>
            <w:vAlign w:val="center"/>
          </w:tcPr>
          <w:p>
            <w:pPr>
              <w:jc w:val="center"/>
              <w:rPr>
                <w:rFonts w:asciiTheme="minorEastAsia" w:hAnsiTheme="minorEastAsia" w:eastAsiaTheme="minorEastAsia" w:cstheme="minorEastAsia"/>
                <w:sz w:val="21"/>
                <w:szCs w:val="21"/>
              </w:rPr>
            </w:pPr>
          </w:p>
        </w:tc>
        <w:tc>
          <w:tcPr>
            <w:tcW w:w="1157" w:type="dxa"/>
            <w:vAlign w:val="center"/>
          </w:tcPr>
          <w:p>
            <w:pPr>
              <w:jc w:val="center"/>
              <w:rPr>
                <w:rFonts w:asciiTheme="minorEastAsia" w:hAnsiTheme="minorEastAsia" w:eastAsiaTheme="minorEastAsia" w:cstheme="minorEastAsia"/>
                <w:sz w:val="21"/>
                <w:szCs w:val="21"/>
              </w:rPr>
            </w:pPr>
          </w:p>
        </w:tc>
        <w:tc>
          <w:tcPr>
            <w:tcW w:w="1104"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4" w:type="dxa"/>
          </w:tcPr>
          <w:p>
            <w:pPr>
              <w:jc w:val="center"/>
              <w:rPr>
                <w:rFonts w:asciiTheme="minorEastAsia" w:hAnsiTheme="minorEastAsia" w:eastAsiaTheme="minorEastAsia" w:cstheme="minorEastAsia"/>
                <w:sz w:val="21"/>
                <w:szCs w:val="21"/>
              </w:rPr>
            </w:pPr>
          </w:p>
        </w:tc>
        <w:tc>
          <w:tcPr>
            <w:tcW w:w="1191" w:type="dxa"/>
          </w:tcPr>
          <w:p>
            <w:pPr>
              <w:jc w:val="center"/>
              <w:rPr>
                <w:rFonts w:asciiTheme="minorEastAsia" w:hAnsiTheme="minorEastAsia" w:eastAsiaTheme="minorEastAsia" w:cstheme="minorEastAsia"/>
                <w:sz w:val="21"/>
                <w:szCs w:val="21"/>
              </w:rPr>
            </w:pPr>
          </w:p>
        </w:tc>
        <w:tc>
          <w:tcPr>
            <w:tcW w:w="835" w:type="dxa"/>
          </w:tcPr>
          <w:p>
            <w:pPr>
              <w:jc w:val="center"/>
              <w:rPr>
                <w:rFonts w:asciiTheme="minorEastAsia" w:hAnsiTheme="minorEastAsia" w:eastAsiaTheme="minorEastAsia" w:cstheme="minorEastAsia"/>
                <w:sz w:val="21"/>
                <w:szCs w:val="21"/>
              </w:rPr>
            </w:pPr>
          </w:p>
        </w:tc>
        <w:tc>
          <w:tcPr>
            <w:tcW w:w="1087" w:type="dxa"/>
          </w:tcPr>
          <w:p>
            <w:pPr>
              <w:jc w:val="center"/>
              <w:rPr>
                <w:rFonts w:asciiTheme="minorEastAsia" w:hAnsiTheme="minorEastAsia" w:eastAsiaTheme="minorEastAsia" w:cstheme="minorEastAsia"/>
                <w:sz w:val="21"/>
                <w:szCs w:val="21"/>
              </w:rPr>
            </w:pPr>
          </w:p>
        </w:tc>
        <w:tc>
          <w:tcPr>
            <w:tcW w:w="737" w:type="dxa"/>
          </w:tcPr>
          <w:p>
            <w:pPr>
              <w:jc w:val="center"/>
              <w:rPr>
                <w:rFonts w:asciiTheme="minorEastAsia" w:hAnsiTheme="minorEastAsia" w:eastAsiaTheme="minorEastAsia" w:cstheme="minorEastAsia"/>
                <w:sz w:val="21"/>
                <w:szCs w:val="21"/>
              </w:rPr>
            </w:pPr>
          </w:p>
        </w:tc>
        <w:tc>
          <w:tcPr>
            <w:tcW w:w="810" w:type="dxa"/>
          </w:tcPr>
          <w:p>
            <w:pPr>
              <w:jc w:val="center"/>
              <w:rPr>
                <w:rFonts w:asciiTheme="minorEastAsia" w:hAnsiTheme="minorEastAsia" w:eastAsiaTheme="minorEastAsia" w:cstheme="minorEastAsia"/>
                <w:sz w:val="21"/>
                <w:szCs w:val="21"/>
              </w:rPr>
            </w:pPr>
          </w:p>
        </w:tc>
        <w:tc>
          <w:tcPr>
            <w:tcW w:w="1330" w:type="dxa"/>
          </w:tcPr>
          <w:p>
            <w:pPr>
              <w:jc w:val="center"/>
              <w:rPr>
                <w:rFonts w:asciiTheme="minorEastAsia" w:hAnsiTheme="minorEastAsia" w:eastAsiaTheme="minorEastAsia" w:cstheme="minorEastAsia"/>
                <w:sz w:val="21"/>
                <w:szCs w:val="21"/>
              </w:rPr>
            </w:pPr>
          </w:p>
        </w:tc>
        <w:tc>
          <w:tcPr>
            <w:tcW w:w="959" w:type="dxa"/>
          </w:tcPr>
          <w:p>
            <w:pPr>
              <w:jc w:val="center"/>
              <w:rPr>
                <w:rFonts w:asciiTheme="minorEastAsia" w:hAnsiTheme="minorEastAsia" w:eastAsiaTheme="minorEastAsia" w:cstheme="minorEastAsia"/>
                <w:sz w:val="21"/>
                <w:szCs w:val="21"/>
              </w:rPr>
            </w:pPr>
          </w:p>
        </w:tc>
        <w:tc>
          <w:tcPr>
            <w:tcW w:w="1157" w:type="dxa"/>
          </w:tcPr>
          <w:p>
            <w:pPr>
              <w:jc w:val="center"/>
              <w:rPr>
                <w:rFonts w:asciiTheme="minorEastAsia" w:hAnsiTheme="minorEastAsia" w:eastAsiaTheme="minorEastAsia" w:cstheme="minorEastAsia"/>
                <w:sz w:val="21"/>
                <w:szCs w:val="21"/>
              </w:rPr>
            </w:pPr>
          </w:p>
        </w:tc>
        <w:tc>
          <w:tcPr>
            <w:tcW w:w="1104" w:type="dxa"/>
          </w:tcPr>
          <w:p>
            <w:pPr>
              <w:jc w:val="center"/>
              <w:rPr>
                <w:rFonts w:asciiTheme="minorEastAsia" w:hAnsiTheme="minorEastAsia" w:eastAsiaTheme="minorEastAsia" w:cstheme="minorEastAsia"/>
                <w:sz w:val="21"/>
                <w:szCs w:val="21"/>
              </w:rPr>
            </w:pPr>
          </w:p>
        </w:tc>
      </w:tr>
    </w:tbl>
    <w:p>
      <w:pPr>
        <w:spacing w:line="440" w:lineRule="exact"/>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sectPr>
          <w:pgSz w:w="11910" w:h="16850"/>
          <w:pgMar w:top="1440" w:right="1800" w:bottom="1440" w:left="1800" w:header="0" w:footer="996" w:gutter="0"/>
          <w:cols w:space="720" w:num="1"/>
          <w:docGrid w:linePitch="299" w:charSpace="0"/>
        </w:sectPr>
      </w:pPr>
      <w:bookmarkStart w:id="1579" w:name="_Toc179632818"/>
      <w:bookmarkStart w:id="1580" w:name="_Toc152045798"/>
      <w:bookmarkStart w:id="1581" w:name="_Toc152042587"/>
      <w:bookmarkStart w:id="1582" w:name="_Toc29819"/>
      <w:bookmarkStart w:id="1583" w:name="_Toc144974866"/>
      <w:r>
        <w:rPr>
          <w:rFonts w:hint="eastAsia" w:asciiTheme="minorEastAsia" w:hAnsiTheme="minorEastAsia" w:eastAsiaTheme="minorEastAsia" w:cstheme="minorEastAsia"/>
          <w:sz w:val="21"/>
          <w:szCs w:val="21"/>
        </w:rPr>
        <w:t>注：投标人在中标后，由中标人来完成以上工作。“拟投入本项目的主要施工设备表”由投标人自拟，待中标后根据现场实际情况增减设备。</w:t>
      </w:r>
      <w:bookmarkStart w:id="1584" w:name="_Toc492365095"/>
      <w:bookmarkStart w:id="1585" w:name="_Toc490064381"/>
      <w:bookmarkStart w:id="1586" w:name="_Toc488398200"/>
    </w:p>
    <w:p>
      <w:pPr>
        <w:pStyle w:val="7"/>
        <w:spacing w:line="360" w:lineRule="auto"/>
        <w:ind w:left="0" w:firstLine="0"/>
        <w:jc w:val="center"/>
        <w:rPr>
          <w:rFonts w:asciiTheme="minorEastAsia" w:hAnsiTheme="minorEastAsia" w:eastAsiaTheme="minorEastAsia" w:cstheme="minorEastAsia"/>
          <w:sz w:val="21"/>
          <w:szCs w:val="21"/>
        </w:rPr>
      </w:pPr>
      <w:bookmarkStart w:id="1587" w:name="_Toc113958638"/>
      <w:bookmarkStart w:id="1588" w:name="_Toc1214"/>
      <w:r>
        <w:rPr>
          <w:rFonts w:hint="eastAsia" w:asciiTheme="minorEastAsia" w:hAnsiTheme="minorEastAsia" w:eastAsiaTheme="minorEastAsia" w:cstheme="minorEastAsia"/>
          <w:sz w:val="21"/>
          <w:szCs w:val="21"/>
        </w:rPr>
        <w:t>（五）拟配备本项目的试验和检测仪器设备表</w:t>
      </w:r>
      <w:bookmarkEnd w:id="1579"/>
      <w:bookmarkEnd w:id="1580"/>
      <w:bookmarkEnd w:id="1581"/>
      <w:bookmarkEnd w:id="1582"/>
      <w:bookmarkEnd w:id="1583"/>
      <w:bookmarkEnd w:id="1584"/>
      <w:bookmarkEnd w:id="1585"/>
      <w:bookmarkEnd w:id="1586"/>
      <w:bookmarkEnd w:id="1587"/>
      <w:bookmarkEnd w:id="1588"/>
    </w:p>
    <w:tbl>
      <w:tblPr>
        <w:tblStyle w:val="47"/>
        <w:tblW w:w="9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247"/>
        <w:gridCol w:w="873"/>
        <w:gridCol w:w="1138"/>
        <w:gridCol w:w="771"/>
        <w:gridCol w:w="847"/>
        <w:gridCol w:w="1300"/>
        <w:gridCol w:w="198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486" w:type="dxa"/>
            <w:vAlign w:val="center"/>
          </w:tcPr>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247"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仪器设备名称</w:t>
            </w:r>
          </w:p>
        </w:tc>
        <w:tc>
          <w:tcPr>
            <w:tcW w:w="873"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型号</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w:t>
            </w:r>
          </w:p>
        </w:tc>
        <w:tc>
          <w:tcPr>
            <w:tcW w:w="1138"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c>
          <w:tcPr>
            <w:tcW w:w="771"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国别</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847"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制造</w:t>
            </w:r>
          </w:p>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年份</w:t>
            </w:r>
          </w:p>
        </w:tc>
        <w:tc>
          <w:tcPr>
            <w:tcW w:w="1300"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已使用台时数</w:t>
            </w:r>
          </w:p>
        </w:tc>
        <w:tc>
          <w:tcPr>
            <w:tcW w:w="1989"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用途</w:t>
            </w:r>
          </w:p>
        </w:tc>
        <w:tc>
          <w:tcPr>
            <w:tcW w:w="790" w:type="dxa"/>
            <w:vAlign w:val="center"/>
          </w:tcPr>
          <w:p>
            <w:pPr>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vAlign w:val="center"/>
          </w:tcPr>
          <w:p>
            <w:pPr>
              <w:jc w:val="center"/>
              <w:rPr>
                <w:rFonts w:asciiTheme="minorEastAsia" w:hAnsiTheme="minorEastAsia" w:eastAsiaTheme="minorEastAsia" w:cstheme="minorEastAsia"/>
                <w:sz w:val="21"/>
                <w:szCs w:val="21"/>
              </w:rPr>
            </w:pPr>
          </w:p>
        </w:tc>
        <w:tc>
          <w:tcPr>
            <w:tcW w:w="1247" w:type="dxa"/>
            <w:vAlign w:val="center"/>
          </w:tcPr>
          <w:p>
            <w:pPr>
              <w:jc w:val="center"/>
              <w:rPr>
                <w:rFonts w:asciiTheme="minorEastAsia" w:hAnsiTheme="minorEastAsia" w:eastAsiaTheme="minorEastAsia" w:cstheme="minorEastAsia"/>
                <w:sz w:val="21"/>
                <w:szCs w:val="21"/>
              </w:rPr>
            </w:pPr>
          </w:p>
        </w:tc>
        <w:tc>
          <w:tcPr>
            <w:tcW w:w="873" w:type="dxa"/>
            <w:vAlign w:val="center"/>
          </w:tcPr>
          <w:p>
            <w:pPr>
              <w:jc w:val="center"/>
              <w:rPr>
                <w:rFonts w:asciiTheme="minorEastAsia" w:hAnsiTheme="minorEastAsia" w:eastAsiaTheme="minorEastAsia" w:cstheme="minorEastAsia"/>
                <w:sz w:val="21"/>
                <w:szCs w:val="21"/>
              </w:rPr>
            </w:pPr>
          </w:p>
        </w:tc>
        <w:tc>
          <w:tcPr>
            <w:tcW w:w="1138" w:type="dxa"/>
            <w:vAlign w:val="center"/>
          </w:tcPr>
          <w:p>
            <w:pPr>
              <w:jc w:val="center"/>
              <w:rPr>
                <w:rFonts w:asciiTheme="minorEastAsia" w:hAnsiTheme="minorEastAsia" w:eastAsiaTheme="minorEastAsia" w:cstheme="minorEastAsia"/>
                <w:sz w:val="21"/>
                <w:szCs w:val="21"/>
              </w:rPr>
            </w:pPr>
          </w:p>
        </w:tc>
        <w:tc>
          <w:tcPr>
            <w:tcW w:w="771" w:type="dxa"/>
            <w:vAlign w:val="center"/>
          </w:tcPr>
          <w:p>
            <w:pPr>
              <w:jc w:val="center"/>
              <w:rPr>
                <w:rFonts w:asciiTheme="minorEastAsia" w:hAnsiTheme="minorEastAsia" w:eastAsiaTheme="minorEastAsia" w:cstheme="minorEastAsia"/>
                <w:sz w:val="21"/>
                <w:szCs w:val="21"/>
              </w:rPr>
            </w:pPr>
          </w:p>
        </w:tc>
        <w:tc>
          <w:tcPr>
            <w:tcW w:w="847" w:type="dxa"/>
            <w:vAlign w:val="center"/>
          </w:tcPr>
          <w:p>
            <w:pPr>
              <w:jc w:val="center"/>
              <w:rPr>
                <w:rFonts w:asciiTheme="minorEastAsia" w:hAnsiTheme="minorEastAsia" w:eastAsiaTheme="minorEastAsia" w:cstheme="minorEastAsia"/>
                <w:sz w:val="21"/>
                <w:szCs w:val="21"/>
              </w:rPr>
            </w:pPr>
          </w:p>
        </w:tc>
        <w:tc>
          <w:tcPr>
            <w:tcW w:w="1300" w:type="dxa"/>
            <w:vAlign w:val="center"/>
          </w:tcPr>
          <w:p>
            <w:pPr>
              <w:jc w:val="center"/>
              <w:rPr>
                <w:rFonts w:asciiTheme="minorEastAsia" w:hAnsiTheme="minorEastAsia" w:eastAsiaTheme="minorEastAsia" w:cstheme="minorEastAsia"/>
                <w:sz w:val="21"/>
                <w:szCs w:val="21"/>
              </w:rPr>
            </w:pPr>
          </w:p>
        </w:tc>
        <w:tc>
          <w:tcPr>
            <w:tcW w:w="1989" w:type="dxa"/>
            <w:vAlign w:val="center"/>
          </w:tcPr>
          <w:p>
            <w:pPr>
              <w:jc w:val="center"/>
              <w:rPr>
                <w:rFonts w:asciiTheme="minorEastAsia" w:hAnsiTheme="minorEastAsia" w:eastAsiaTheme="minorEastAsia" w:cstheme="minorEastAsia"/>
                <w:sz w:val="21"/>
                <w:szCs w:val="21"/>
              </w:rPr>
            </w:pPr>
          </w:p>
        </w:tc>
        <w:tc>
          <w:tcPr>
            <w:tcW w:w="790"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vAlign w:val="center"/>
          </w:tcPr>
          <w:p>
            <w:pPr>
              <w:jc w:val="center"/>
              <w:rPr>
                <w:rFonts w:asciiTheme="minorEastAsia" w:hAnsiTheme="minorEastAsia" w:eastAsiaTheme="minorEastAsia" w:cstheme="minorEastAsia"/>
                <w:sz w:val="21"/>
                <w:szCs w:val="21"/>
              </w:rPr>
            </w:pPr>
          </w:p>
        </w:tc>
        <w:tc>
          <w:tcPr>
            <w:tcW w:w="1247" w:type="dxa"/>
            <w:vAlign w:val="center"/>
          </w:tcPr>
          <w:p>
            <w:pPr>
              <w:jc w:val="center"/>
              <w:rPr>
                <w:rFonts w:asciiTheme="minorEastAsia" w:hAnsiTheme="minorEastAsia" w:eastAsiaTheme="minorEastAsia" w:cstheme="minorEastAsia"/>
                <w:sz w:val="21"/>
                <w:szCs w:val="21"/>
              </w:rPr>
            </w:pPr>
          </w:p>
        </w:tc>
        <w:tc>
          <w:tcPr>
            <w:tcW w:w="873" w:type="dxa"/>
            <w:vAlign w:val="center"/>
          </w:tcPr>
          <w:p>
            <w:pPr>
              <w:jc w:val="center"/>
              <w:rPr>
                <w:rFonts w:asciiTheme="minorEastAsia" w:hAnsiTheme="minorEastAsia" w:eastAsiaTheme="minorEastAsia" w:cstheme="minorEastAsia"/>
                <w:sz w:val="21"/>
                <w:szCs w:val="21"/>
              </w:rPr>
            </w:pPr>
          </w:p>
        </w:tc>
        <w:tc>
          <w:tcPr>
            <w:tcW w:w="1138" w:type="dxa"/>
            <w:vAlign w:val="center"/>
          </w:tcPr>
          <w:p>
            <w:pPr>
              <w:jc w:val="center"/>
              <w:rPr>
                <w:rFonts w:asciiTheme="minorEastAsia" w:hAnsiTheme="minorEastAsia" w:eastAsiaTheme="minorEastAsia" w:cstheme="minorEastAsia"/>
                <w:sz w:val="21"/>
                <w:szCs w:val="21"/>
              </w:rPr>
            </w:pPr>
          </w:p>
        </w:tc>
        <w:tc>
          <w:tcPr>
            <w:tcW w:w="771" w:type="dxa"/>
            <w:vAlign w:val="center"/>
          </w:tcPr>
          <w:p>
            <w:pPr>
              <w:jc w:val="center"/>
              <w:rPr>
                <w:rFonts w:asciiTheme="minorEastAsia" w:hAnsiTheme="minorEastAsia" w:eastAsiaTheme="minorEastAsia" w:cstheme="minorEastAsia"/>
                <w:sz w:val="21"/>
                <w:szCs w:val="21"/>
              </w:rPr>
            </w:pPr>
          </w:p>
        </w:tc>
        <w:tc>
          <w:tcPr>
            <w:tcW w:w="847" w:type="dxa"/>
            <w:vAlign w:val="center"/>
          </w:tcPr>
          <w:p>
            <w:pPr>
              <w:jc w:val="center"/>
              <w:rPr>
                <w:rFonts w:asciiTheme="minorEastAsia" w:hAnsiTheme="minorEastAsia" w:eastAsiaTheme="minorEastAsia" w:cstheme="minorEastAsia"/>
                <w:sz w:val="21"/>
                <w:szCs w:val="21"/>
              </w:rPr>
            </w:pPr>
          </w:p>
        </w:tc>
        <w:tc>
          <w:tcPr>
            <w:tcW w:w="1300" w:type="dxa"/>
            <w:vAlign w:val="center"/>
          </w:tcPr>
          <w:p>
            <w:pPr>
              <w:jc w:val="center"/>
              <w:rPr>
                <w:rFonts w:asciiTheme="minorEastAsia" w:hAnsiTheme="minorEastAsia" w:eastAsiaTheme="minorEastAsia" w:cstheme="minorEastAsia"/>
                <w:sz w:val="21"/>
                <w:szCs w:val="21"/>
              </w:rPr>
            </w:pPr>
          </w:p>
        </w:tc>
        <w:tc>
          <w:tcPr>
            <w:tcW w:w="1989" w:type="dxa"/>
            <w:vAlign w:val="center"/>
          </w:tcPr>
          <w:p>
            <w:pPr>
              <w:jc w:val="center"/>
              <w:rPr>
                <w:rFonts w:asciiTheme="minorEastAsia" w:hAnsiTheme="minorEastAsia" w:eastAsiaTheme="minorEastAsia" w:cstheme="minorEastAsia"/>
                <w:sz w:val="21"/>
                <w:szCs w:val="21"/>
              </w:rPr>
            </w:pPr>
          </w:p>
        </w:tc>
        <w:tc>
          <w:tcPr>
            <w:tcW w:w="790"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86" w:type="dxa"/>
          </w:tcPr>
          <w:p>
            <w:pPr>
              <w:jc w:val="center"/>
              <w:rPr>
                <w:rFonts w:asciiTheme="minorEastAsia" w:hAnsiTheme="minorEastAsia" w:eastAsiaTheme="minorEastAsia" w:cstheme="minorEastAsia"/>
                <w:sz w:val="21"/>
                <w:szCs w:val="21"/>
              </w:rPr>
            </w:pPr>
          </w:p>
        </w:tc>
        <w:tc>
          <w:tcPr>
            <w:tcW w:w="1247" w:type="dxa"/>
          </w:tcPr>
          <w:p>
            <w:pPr>
              <w:jc w:val="center"/>
              <w:rPr>
                <w:rFonts w:asciiTheme="minorEastAsia" w:hAnsiTheme="minorEastAsia" w:eastAsiaTheme="minorEastAsia" w:cstheme="minorEastAsia"/>
                <w:sz w:val="21"/>
                <w:szCs w:val="21"/>
              </w:rPr>
            </w:pPr>
          </w:p>
        </w:tc>
        <w:tc>
          <w:tcPr>
            <w:tcW w:w="873" w:type="dxa"/>
          </w:tcPr>
          <w:p>
            <w:pPr>
              <w:jc w:val="center"/>
              <w:rPr>
                <w:rFonts w:asciiTheme="minorEastAsia" w:hAnsiTheme="minorEastAsia" w:eastAsiaTheme="minorEastAsia" w:cstheme="minorEastAsia"/>
                <w:sz w:val="21"/>
                <w:szCs w:val="21"/>
              </w:rPr>
            </w:pPr>
          </w:p>
        </w:tc>
        <w:tc>
          <w:tcPr>
            <w:tcW w:w="1138" w:type="dxa"/>
          </w:tcPr>
          <w:p>
            <w:pPr>
              <w:jc w:val="center"/>
              <w:rPr>
                <w:rFonts w:asciiTheme="minorEastAsia" w:hAnsiTheme="minorEastAsia" w:eastAsiaTheme="minorEastAsia" w:cstheme="minorEastAsia"/>
                <w:sz w:val="21"/>
                <w:szCs w:val="21"/>
              </w:rPr>
            </w:pPr>
          </w:p>
        </w:tc>
        <w:tc>
          <w:tcPr>
            <w:tcW w:w="771" w:type="dxa"/>
          </w:tcPr>
          <w:p>
            <w:pPr>
              <w:jc w:val="center"/>
              <w:rPr>
                <w:rFonts w:asciiTheme="minorEastAsia" w:hAnsiTheme="minorEastAsia" w:eastAsiaTheme="minorEastAsia" w:cstheme="minorEastAsia"/>
                <w:sz w:val="21"/>
                <w:szCs w:val="21"/>
              </w:rPr>
            </w:pPr>
          </w:p>
        </w:tc>
        <w:tc>
          <w:tcPr>
            <w:tcW w:w="847" w:type="dxa"/>
          </w:tcPr>
          <w:p>
            <w:pPr>
              <w:jc w:val="center"/>
              <w:rPr>
                <w:rFonts w:asciiTheme="minorEastAsia" w:hAnsiTheme="minorEastAsia" w:eastAsiaTheme="minorEastAsia" w:cstheme="minorEastAsia"/>
                <w:sz w:val="21"/>
                <w:szCs w:val="21"/>
              </w:rPr>
            </w:pPr>
          </w:p>
        </w:tc>
        <w:tc>
          <w:tcPr>
            <w:tcW w:w="1300" w:type="dxa"/>
          </w:tcPr>
          <w:p>
            <w:pPr>
              <w:jc w:val="center"/>
              <w:rPr>
                <w:rFonts w:asciiTheme="minorEastAsia" w:hAnsiTheme="minorEastAsia" w:eastAsiaTheme="minorEastAsia" w:cstheme="minorEastAsia"/>
                <w:sz w:val="21"/>
                <w:szCs w:val="21"/>
              </w:rPr>
            </w:pPr>
          </w:p>
        </w:tc>
        <w:tc>
          <w:tcPr>
            <w:tcW w:w="1989" w:type="dxa"/>
          </w:tcPr>
          <w:p>
            <w:pPr>
              <w:jc w:val="center"/>
              <w:rPr>
                <w:rFonts w:asciiTheme="minorEastAsia" w:hAnsiTheme="minorEastAsia" w:eastAsiaTheme="minorEastAsia" w:cstheme="minorEastAsia"/>
                <w:sz w:val="21"/>
                <w:szCs w:val="21"/>
              </w:rPr>
            </w:pPr>
          </w:p>
        </w:tc>
        <w:tc>
          <w:tcPr>
            <w:tcW w:w="790" w:type="dxa"/>
          </w:tcPr>
          <w:p>
            <w:pPr>
              <w:jc w:val="center"/>
              <w:rPr>
                <w:rFonts w:asciiTheme="minorEastAsia" w:hAnsiTheme="minorEastAsia" w:eastAsiaTheme="minorEastAsia" w:cstheme="minorEastAsia"/>
                <w:sz w:val="21"/>
                <w:szCs w:val="21"/>
              </w:rPr>
            </w:pPr>
          </w:p>
        </w:tc>
      </w:tr>
    </w:tbl>
    <w:p>
      <w:pPr>
        <w:sectPr>
          <w:pgSz w:w="11910" w:h="16850"/>
          <w:pgMar w:top="1440" w:right="1800" w:bottom="1440" w:left="1800" w:header="0" w:footer="996" w:gutter="0"/>
          <w:cols w:space="720" w:num="1"/>
          <w:docGrid w:linePitch="299" w:charSpace="0"/>
        </w:sectPr>
      </w:pPr>
      <w:bookmarkStart w:id="1589" w:name="_Toc152045805"/>
      <w:bookmarkStart w:id="1590" w:name="_Toc144974873"/>
      <w:bookmarkStart w:id="1591" w:name="_Toc179632825"/>
      <w:bookmarkStart w:id="1592" w:name="_Toc152042594"/>
      <w:bookmarkStart w:id="1593" w:name="_Toc488398202"/>
      <w:bookmarkStart w:id="1594" w:name="_Toc492365097"/>
      <w:bookmarkStart w:id="1595" w:name="_Toc490064383"/>
      <w:bookmarkStart w:id="1596" w:name="_Toc22438"/>
    </w:p>
    <w:p>
      <w:pPr>
        <w:pStyle w:val="7"/>
        <w:spacing w:line="360" w:lineRule="auto"/>
        <w:ind w:left="0" w:firstLine="0"/>
        <w:jc w:val="center"/>
        <w:rPr>
          <w:rFonts w:asciiTheme="minorEastAsia" w:hAnsiTheme="minorEastAsia" w:eastAsiaTheme="minorEastAsia" w:cstheme="minorEastAsia"/>
          <w:sz w:val="21"/>
          <w:szCs w:val="21"/>
        </w:rPr>
      </w:pPr>
      <w:bookmarkStart w:id="1597" w:name="_Toc113958639"/>
      <w:bookmarkStart w:id="1598" w:name="_Toc19215"/>
      <w:r>
        <w:rPr>
          <w:rFonts w:hint="eastAsia" w:asciiTheme="minorEastAsia" w:hAnsiTheme="minorEastAsia" w:eastAsiaTheme="minorEastAsia" w:cstheme="minorEastAsia"/>
          <w:sz w:val="21"/>
          <w:szCs w:val="21"/>
        </w:rPr>
        <w:t>（六）主要人员简历表</w:t>
      </w:r>
      <w:bookmarkEnd w:id="1589"/>
      <w:bookmarkEnd w:id="1590"/>
      <w:bookmarkEnd w:id="1591"/>
      <w:bookmarkEnd w:id="1592"/>
      <w:r>
        <w:rPr>
          <w:rFonts w:hint="eastAsia" w:asciiTheme="minorEastAsia" w:hAnsiTheme="minorEastAsia" w:eastAsiaTheme="minorEastAsia" w:cstheme="minorEastAsia"/>
          <w:sz w:val="21"/>
          <w:szCs w:val="21"/>
        </w:rPr>
        <w:t>（项目负责人、设计项目负责人分别填写）</w:t>
      </w:r>
      <w:bookmarkEnd w:id="1593"/>
      <w:bookmarkEnd w:id="1594"/>
      <w:bookmarkEnd w:id="1595"/>
      <w:bookmarkEnd w:id="1596"/>
      <w:bookmarkEnd w:id="1597"/>
      <w:bookmarkEnd w:id="1598"/>
    </w:p>
    <w:p>
      <w:pPr>
        <w:spacing w:line="400" w:lineRule="exact"/>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“主要人员简历表”中的项目负责人、设计项目负责人应附相应证书复印件</w:t>
      </w:r>
    </w:p>
    <w:tbl>
      <w:tblPr>
        <w:tblStyle w:val="47"/>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375"/>
        <w:gridCol w:w="757"/>
        <w:gridCol w:w="973"/>
        <w:gridCol w:w="1117"/>
        <w:gridCol w:w="740"/>
        <w:gridCol w:w="1323"/>
        <w:gridCol w:w="171"/>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4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  名</w:t>
            </w:r>
          </w:p>
        </w:tc>
        <w:tc>
          <w:tcPr>
            <w:tcW w:w="1132" w:type="dxa"/>
            <w:gridSpan w:val="2"/>
            <w:vAlign w:val="center"/>
          </w:tcPr>
          <w:p>
            <w:pPr>
              <w:jc w:val="center"/>
              <w:rPr>
                <w:rFonts w:asciiTheme="minorEastAsia" w:hAnsiTheme="minorEastAsia" w:eastAsiaTheme="minorEastAsia" w:cstheme="minorEastAsia"/>
                <w:sz w:val="21"/>
                <w:szCs w:val="21"/>
              </w:rPr>
            </w:pPr>
          </w:p>
        </w:tc>
        <w:tc>
          <w:tcPr>
            <w:tcW w:w="97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龄</w:t>
            </w:r>
          </w:p>
        </w:tc>
        <w:tc>
          <w:tcPr>
            <w:tcW w:w="1117" w:type="dxa"/>
            <w:vAlign w:val="center"/>
          </w:tcPr>
          <w:p>
            <w:pPr>
              <w:jc w:val="center"/>
              <w:rPr>
                <w:rFonts w:asciiTheme="minorEastAsia" w:hAnsiTheme="minorEastAsia" w:eastAsiaTheme="minorEastAsia" w:cstheme="minorEastAsia"/>
                <w:sz w:val="21"/>
                <w:szCs w:val="21"/>
              </w:rPr>
            </w:pPr>
          </w:p>
        </w:tc>
        <w:tc>
          <w:tcPr>
            <w:tcW w:w="2234"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学历</w:t>
            </w:r>
          </w:p>
        </w:tc>
        <w:tc>
          <w:tcPr>
            <w:tcW w:w="2239"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4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称</w:t>
            </w:r>
          </w:p>
        </w:tc>
        <w:tc>
          <w:tcPr>
            <w:tcW w:w="1132" w:type="dxa"/>
            <w:gridSpan w:val="2"/>
            <w:vAlign w:val="center"/>
          </w:tcPr>
          <w:p>
            <w:pPr>
              <w:jc w:val="center"/>
              <w:rPr>
                <w:rFonts w:asciiTheme="minorEastAsia" w:hAnsiTheme="minorEastAsia" w:eastAsiaTheme="minorEastAsia" w:cstheme="minorEastAsia"/>
                <w:sz w:val="21"/>
                <w:szCs w:val="21"/>
              </w:rPr>
            </w:pPr>
          </w:p>
        </w:tc>
        <w:tc>
          <w:tcPr>
            <w:tcW w:w="97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 务</w:t>
            </w:r>
          </w:p>
        </w:tc>
        <w:tc>
          <w:tcPr>
            <w:tcW w:w="1117" w:type="dxa"/>
            <w:vAlign w:val="center"/>
          </w:tcPr>
          <w:p>
            <w:pPr>
              <w:jc w:val="center"/>
              <w:rPr>
                <w:rFonts w:asciiTheme="minorEastAsia" w:hAnsiTheme="minorEastAsia" w:eastAsiaTheme="minorEastAsia" w:cstheme="minorEastAsia"/>
                <w:sz w:val="21"/>
                <w:szCs w:val="21"/>
              </w:rPr>
            </w:pPr>
          </w:p>
        </w:tc>
        <w:tc>
          <w:tcPr>
            <w:tcW w:w="2234" w:type="dxa"/>
            <w:gridSpan w:val="3"/>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拟在本合同任职</w:t>
            </w:r>
          </w:p>
        </w:tc>
        <w:tc>
          <w:tcPr>
            <w:tcW w:w="2239" w:type="dxa"/>
            <w:vAlign w:val="center"/>
          </w:tcPr>
          <w:p>
            <w:pPr>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4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毕业学校</w:t>
            </w:r>
          </w:p>
        </w:tc>
        <w:tc>
          <w:tcPr>
            <w:tcW w:w="7695" w:type="dxa"/>
            <w:gridSpan w:val="8"/>
          </w:tcPr>
          <w:p>
            <w:pPr>
              <w:ind w:firstLine="945" w:firstLineChars="45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940" w:type="dxa"/>
            <w:gridSpan w:val="9"/>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  间</w:t>
            </w:r>
          </w:p>
        </w:tc>
        <w:tc>
          <w:tcPr>
            <w:tcW w:w="3587" w:type="dxa"/>
            <w:gridSpan w:val="4"/>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参加过的类似项目</w:t>
            </w:r>
          </w:p>
        </w:tc>
        <w:tc>
          <w:tcPr>
            <w:tcW w:w="1323"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担任职务</w:t>
            </w:r>
          </w:p>
        </w:tc>
        <w:tc>
          <w:tcPr>
            <w:tcW w:w="2410" w:type="dxa"/>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tcPr>
          <w:p>
            <w:pPr>
              <w:rPr>
                <w:rFonts w:asciiTheme="minorEastAsia" w:hAnsiTheme="minorEastAsia" w:eastAsiaTheme="minorEastAsia" w:cstheme="minorEastAsia"/>
                <w:sz w:val="21"/>
                <w:szCs w:val="21"/>
              </w:rPr>
            </w:pPr>
          </w:p>
        </w:tc>
        <w:tc>
          <w:tcPr>
            <w:tcW w:w="3587" w:type="dxa"/>
            <w:gridSpan w:val="4"/>
          </w:tcPr>
          <w:p>
            <w:pPr>
              <w:rPr>
                <w:rFonts w:asciiTheme="minorEastAsia" w:hAnsiTheme="minorEastAsia" w:eastAsiaTheme="minorEastAsia" w:cstheme="minorEastAsia"/>
                <w:sz w:val="21"/>
                <w:szCs w:val="21"/>
              </w:rPr>
            </w:pPr>
          </w:p>
        </w:tc>
        <w:tc>
          <w:tcPr>
            <w:tcW w:w="1323" w:type="dxa"/>
          </w:tcPr>
          <w:p>
            <w:pPr>
              <w:rPr>
                <w:rFonts w:asciiTheme="minorEastAsia" w:hAnsiTheme="minorEastAsia" w:eastAsiaTheme="minorEastAsia" w:cstheme="minorEastAsia"/>
                <w:sz w:val="21"/>
                <w:szCs w:val="21"/>
              </w:rPr>
            </w:pPr>
          </w:p>
        </w:tc>
        <w:tc>
          <w:tcPr>
            <w:tcW w:w="2410" w:type="dxa"/>
            <w:gridSpan w:val="2"/>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tcPr>
          <w:p>
            <w:pPr>
              <w:rPr>
                <w:rFonts w:asciiTheme="minorEastAsia" w:hAnsiTheme="minorEastAsia" w:eastAsiaTheme="minorEastAsia" w:cstheme="minorEastAsia"/>
                <w:sz w:val="21"/>
                <w:szCs w:val="21"/>
              </w:rPr>
            </w:pPr>
          </w:p>
        </w:tc>
        <w:tc>
          <w:tcPr>
            <w:tcW w:w="3587" w:type="dxa"/>
            <w:gridSpan w:val="4"/>
          </w:tcPr>
          <w:p>
            <w:pPr>
              <w:rPr>
                <w:rFonts w:asciiTheme="minorEastAsia" w:hAnsiTheme="minorEastAsia" w:eastAsiaTheme="minorEastAsia" w:cstheme="minorEastAsia"/>
                <w:sz w:val="21"/>
                <w:szCs w:val="21"/>
              </w:rPr>
            </w:pPr>
          </w:p>
        </w:tc>
        <w:tc>
          <w:tcPr>
            <w:tcW w:w="1323" w:type="dxa"/>
          </w:tcPr>
          <w:p>
            <w:pPr>
              <w:rPr>
                <w:rFonts w:asciiTheme="minorEastAsia" w:hAnsiTheme="minorEastAsia" w:eastAsiaTheme="minorEastAsia" w:cstheme="minorEastAsia"/>
                <w:sz w:val="21"/>
                <w:szCs w:val="21"/>
              </w:rPr>
            </w:pPr>
          </w:p>
        </w:tc>
        <w:tc>
          <w:tcPr>
            <w:tcW w:w="2410" w:type="dxa"/>
            <w:gridSpan w:val="2"/>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tcPr>
          <w:p>
            <w:pPr>
              <w:rPr>
                <w:rFonts w:asciiTheme="minorEastAsia" w:hAnsiTheme="minorEastAsia" w:eastAsiaTheme="minorEastAsia" w:cstheme="minorEastAsia"/>
                <w:sz w:val="21"/>
                <w:szCs w:val="21"/>
              </w:rPr>
            </w:pPr>
          </w:p>
        </w:tc>
        <w:tc>
          <w:tcPr>
            <w:tcW w:w="3587" w:type="dxa"/>
            <w:gridSpan w:val="4"/>
          </w:tcPr>
          <w:p>
            <w:pPr>
              <w:rPr>
                <w:rFonts w:asciiTheme="minorEastAsia" w:hAnsiTheme="minorEastAsia" w:eastAsiaTheme="minorEastAsia" w:cstheme="minorEastAsia"/>
                <w:sz w:val="21"/>
                <w:szCs w:val="21"/>
              </w:rPr>
            </w:pPr>
          </w:p>
        </w:tc>
        <w:tc>
          <w:tcPr>
            <w:tcW w:w="1323" w:type="dxa"/>
          </w:tcPr>
          <w:p>
            <w:pPr>
              <w:rPr>
                <w:rFonts w:asciiTheme="minorEastAsia" w:hAnsiTheme="minorEastAsia" w:eastAsiaTheme="minorEastAsia" w:cstheme="minorEastAsia"/>
                <w:sz w:val="21"/>
                <w:szCs w:val="21"/>
              </w:rPr>
            </w:pPr>
          </w:p>
        </w:tc>
        <w:tc>
          <w:tcPr>
            <w:tcW w:w="2410" w:type="dxa"/>
            <w:gridSpan w:val="2"/>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620" w:type="dxa"/>
            <w:gridSpan w:val="2"/>
            <w:vAlign w:val="center"/>
          </w:tcPr>
          <w:p>
            <w:pPr>
              <w:rPr>
                <w:rFonts w:asciiTheme="minorEastAsia" w:hAnsiTheme="minorEastAsia" w:eastAsiaTheme="minorEastAsia" w:cstheme="minorEastAsia"/>
                <w:sz w:val="21"/>
                <w:szCs w:val="21"/>
              </w:rPr>
            </w:pPr>
          </w:p>
        </w:tc>
        <w:tc>
          <w:tcPr>
            <w:tcW w:w="3587" w:type="dxa"/>
            <w:gridSpan w:val="4"/>
            <w:vAlign w:val="center"/>
          </w:tcPr>
          <w:p>
            <w:pPr>
              <w:rPr>
                <w:rFonts w:asciiTheme="minorEastAsia" w:hAnsiTheme="minorEastAsia" w:eastAsiaTheme="minorEastAsia" w:cstheme="minorEastAsia"/>
                <w:sz w:val="21"/>
                <w:szCs w:val="21"/>
              </w:rPr>
            </w:pPr>
          </w:p>
        </w:tc>
        <w:tc>
          <w:tcPr>
            <w:tcW w:w="1323" w:type="dxa"/>
            <w:vAlign w:val="center"/>
          </w:tcPr>
          <w:p>
            <w:pPr>
              <w:rPr>
                <w:rFonts w:asciiTheme="minorEastAsia" w:hAnsiTheme="minorEastAsia" w:eastAsiaTheme="minorEastAsia" w:cstheme="minorEastAsia"/>
                <w:sz w:val="21"/>
                <w:szCs w:val="21"/>
              </w:rPr>
            </w:pPr>
          </w:p>
        </w:tc>
        <w:tc>
          <w:tcPr>
            <w:tcW w:w="2410" w:type="dxa"/>
            <w:gridSpan w:val="2"/>
            <w:vAlign w:val="center"/>
          </w:tcPr>
          <w:p>
            <w:pPr>
              <w:rPr>
                <w:rFonts w:asciiTheme="minorEastAsia" w:hAnsiTheme="minorEastAsia" w:eastAsiaTheme="minorEastAsia" w:cstheme="minorEastAsia"/>
                <w:sz w:val="21"/>
                <w:szCs w:val="21"/>
              </w:rPr>
            </w:pPr>
          </w:p>
        </w:tc>
      </w:tr>
    </w:tbl>
    <w:p>
      <w:pPr>
        <w:topLinePunct/>
        <w:spacing w:line="440" w:lineRule="exact"/>
        <w:jc w:val="both"/>
        <w:rPr>
          <w:rFonts w:asciiTheme="minorEastAsia" w:hAnsiTheme="minorEastAsia" w:eastAsiaTheme="minorEastAsia" w:cstheme="minorEastAsia"/>
          <w:sz w:val="21"/>
          <w:szCs w:val="21"/>
        </w:rPr>
      </w:pPr>
    </w:p>
    <w:bookmarkEnd w:id="1567"/>
    <w:bookmarkEnd w:id="1568"/>
    <w:bookmarkEnd w:id="1569"/>
    <w:bookmarkEnd w:id="1570"/>
    <w:bookmarkEnd w:id="1571"/>
    <w:bookmarkEnd w:id="1572"/>
    <w:p>
      <w:pPr>
        <w:adjustRightInd w:val="0"/>
        <w:snapToGrid w:val="0"/>
        <w:spacing w:before="48" w:beforeLines="20" w:after="48" w:afterLines="20" w:line="540" w:lineRule="exact"/>
        <w:rPr>
          <w:rFonts w:asciiTheme="minorEastAsia" w:hAnsiTheme="minorEastAsia" w:eastAsiaTheme="minorEastAsia" w:cstheme="minorEastAsia"/>
          <w:b/>
          <w:sz w:val="21"/>
          <w:szCs w:val="21"/>
        </w:rPr>
        <w:sectPr>
          <w:pgSz w:w="11910" w:h="16850"/>
          <w:pgMar w:top="1440" w:right="1800" w:bottom="1440" w:left="1800" w:header="0" w:footer="996" w:gutter="0"/>
          <w:cols w:space="720" w:num="1"/>
          <w:docGrid w:linePitch="299" w:charSpace="0"/>
        </w:sectPr>
      </w:pPr>
    </w:p>
    <w:p>
      <w:pPr>
        <w:pStyle w:val="6"/>
        <w:spacing w:line="360" w:lineRule="auto"/>
        <w:ind w:left="0" w:firstLine="0"/>
        <w:jc w:val="center"/>
        <w:rPr>
          <w:rFonts w:asciiTheme="minorEastAsia" w:hAnsiTheme="minorEastAsia" w:eastAsiaTheme="minorEastAsia" w:cstheme="minorEastAsia"/>
          <w:b/>
          <w:bCs/>
          <w:sz w:val="28"/>
          <w:szCs w:val="21"/>
        </w:rPr>
      </w:pPr>
      <w:bookmarkStart w:id="1599" w:name="_Toc861"/>
      <w:bookmarkStart w:id="1600" w:name="_Toc179632813"/>
      <w:bookmarkStart w:id="1601" w:name="_Toc113958640"/>
      <w:r>
        <w:rPr>
          <w:rFonts w:hint="eastAsia" w:asciiTheme="minorEastAsia" w:hAnsiTheme="minorEastAsia" w:eastAsiaTheme="minorEastAsia" w:cstheme="minorEastAsia"/>
          <w:b/>
          <w:bCs/>
          <w:sz w:val="28"/>
          <w:szCs w:val="21"/>
        </w:rPr>
        <w:t>八、联合体协议书</w:t>
      </w:r>
      <w:bookmarkEnd w:id="1599"/>
      <w:bookmarkEnd w:id="1600"/>
      <w:bookmarkEnd w:id="1601"/>
    </w:p>
    <w:p>
      <w:pPr>
        <w:spacing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（联合体投标的需提供）</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（所有成员单位名称）自愿组成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（联合体名称）联合体，共同参加</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标段施工投标。现就联合体投标事宜订立如下协议。</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（某成员单位名称）为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（联合体名称）牵头人。</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3、联合体将严格按照招标文件的各项要求，递交投标文件，履行合同，并对外承担连带责任。</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4、联合体各成员单位内部的职责分工如下：</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5、联合体各成员单位拟派的项目负责人为：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5、本协议书自签署之日起生效，合同履行完毕后自动失效。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6、本协议书一式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份，联合体成员和招标人各执一份。</w:t>
      </w:r>
    </w:p>
    <w:p>
      <w:pPr>
        <w:spacing w:line="360" w:lineRule="auto"/>
        <w:ind w:firstLine="200"/>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注：本协议书由委托代理人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的，应附法定代表人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的授权委托书。</w:t>
      </w:r>
    </w:p>
    <w:p>
      <w:pPr>
        <w:spacing w:line="360" w:lineRule="auto"/>
        <w:ind w:firstLine="200"/>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牵头人名称：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（盖单位章）</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z w:val="21"/>
          <w:szCs w:val="21"/>
          <w:lang w:val="en-US"/>
        </w:rPr>
        <w:t>或盖章</w:t>
      </w:r>
      <w:r>
        <w:rPr>
          <w:rFonts w:hint="eastAsia" w:asciiTheme="minorEastAsia" w:hAnsiTheme="minorEastAsia" w:eastAsiaTheme="minorEastAsia" w:cstheme="minorEastAsia"/>
          <w:sz w:val="21"/>
          <w:szCs w:val="21"/>
        </w:rPr>
        <w:t>）</w:t>
      </w:r>
    </w:p>
    <w:p>
      <w:pPr>
        <w:spacing w:line="360" w:lineRule="auto"/>
        <w:ind w:firstLine="200"/>
        <w:rPr>
          <w:rFonts w:asciiTheme="minorEastAsia" w:hAnsiTheme="minorEastAsia" w:eastAsiaTheme="minorEastAsia" w:cstheme="minorEastAsia"/>
          <w:sz w:val="21"/>
          <w:szCs w:val="21"/>
        </w:rPr>
      </w:pP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成员一名称：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（盖单位章）</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法定代表人或其委托代理人：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（签字</w:t>
      </w:r>
      <w:r>
        <w:rPr>
          <w:rFonts w:hint="eastAsia" w:asciiTheme="minorEastAsia" w:hAnsiTheme="minorEastAsia" w:eastAsiaTheme="minorEastAsia" w:cstheme="minorEastAsia"/>
          <w:sz w:val="21"/>
          <w:szCs w:val="21"/>
          <w:lang w:val="en-US"/>
        </w:rPr>
        <w:t>或盖章</w:t>
      </w:r>
      <w:r>
        <w:rPr>
          <w:rFonts w:hint="eastAsia" w:asciiTheme="minorEastAsia" w:hAnsiTheme="minorEastAsia" w:eastAsiaTheme="minorEastAsia" w:cstheme="minorEastAsia"/>
          <w:sz w:val="21"/>
          <w:szCs w:val="21"/>
        </w:rPr>
        <w:t>）</w:t>
      </w:r>
    </w:p>
    <w:p>
      <w:pPr>
        <w:pStyle w:val="2"/>
        <w:spacing w:after="0" w:line="360" w:lineRule="auto"/>
        <w:ind w:left="0" w:firstLine="200"/>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sectPr>
          <w:pgSz w:w="11910" w:h="16850"/>
          <w:pgMar w:top="1440" w:right="1800" w:bottom="1440" w:left="1800" w:header="0" w:footer="996" w:gutter="0"/>
          <w:cols w:space="720" w:num="1"/>
          <w:docGrid w:linePitch="299" w:charSpace="0"/>
        </w:sectPr>
      </w:pPr>
    </w:p>
    <w:p>
      <w:pPr>
        <w:pStyle w:val="6"/>
        <w:spacing w:line="360" w:lineRule="auto"/>
        <w:ind w:left="0" w:firstLine="0"/>
        <w:jc w:val="center"/>
        <w:rPr>
          <w:rFonts w:asciiTheme="minorEastAsia" w:hAnsiTheme="minorEastAsia" w:eastAsiaTheme="minorEastAsia" w:cstheme="minorEastAsia"/>
          <w:b/>
          <w:bCs/>
          <w:sz w:val="28"/>
          <w:szCs w:val="21"/>
        </w:rPr>
      </w:pPr>
      <w:bookmarkStart w:id="1602" w:name="_Toc113958641"/>
      <w:bookmarkStart w:id="1603" w:name="_Toc23903"/>
      <w:r>
        <w:rPr>
          <w:rFonts w:hint="eastAsia" w:asciiTheme="minorEastAsia" w:hAnsiTheme="minorEastAsia" w:eastAsiaTheme="minorEastAsia" w:cstheme="minorEastAsia"/>
          <w:b/>
          <w:bCs/>
          <w:sz w:val="28"/>
          <w:szCs w:val="21"/>
        </w:rPr>
        <w:t>九、投标承诺书</w:t>
      </w:r>
      <w:bookmarkEnd w:id="1602"/>
      <w:bookmarkEnd w:id="1603"/>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投标人（单位名称）</w:t>
      </w:r>
      <w:r>
        <w:rPr>
          <w:rFonts w:hint="eastAsia" w:asciiTheme="minorEastAsia" w:hAnsiTheme="minorEastAsia" w:eastAsiaTheme="minorEastAsia" w:cstheme="minorEastAsia"/>
          <w:sz w:val="21"/>
          <w:szCs w:val="21"/>
        </w:rPr>
        <w:t>承诺：</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一、将遵循公开、公正和诚实信用的原则自愿参加项目的投标；所提供的一切材料都是真实、有效、合法的；</w:t>
      </w:r>
    </w:p>
    <w:p>
      <w:pPr>
        <w:adjustRightInd w:val="0"/>
        <w:snapToGrid w:val="0"/>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bCs/>
          <w:sz w:val="21"/>
          <w:szCs w:val="21"/>
        </w:rPr>
        <w:t>本公司将严格按照该工程的招标文件要求完成投标程序,不提供虚假材料,如果中标,决不转包和非法分包,否则按招标投标法有关规定处理；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三、不出借、转让资质证书，不让他人挂靠投标，不以他人名义投标或者以其他方式弄虚作假，骗取中标；</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四、不与其他投标人相互串通投标报价，不排挤其他投标人的公平竞争、损害招标人的合法权益；</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五、不与招标人、招标代理机构或其他投标人串通投标，损害国家利益、社会公共利益或者他人的合法权益；</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六、严格遵守开标现场纪律，服从监管人员管理；</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七、保证中标之后，按照投标文件承诺派驻管理人员及投入机械设备；</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如在投标过程和评标结果公示期间发生投诉行为，保证按照《淮北市公共资源交易投诉处理暂行办法》要求进行。投诉内容符合要求，投诉材料加盖企业公章或由法定代表人授权委托人签字，并附有关身份证明。不恶意投诉，对本公司提供的投诉线索的真实性负责；</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九、生产经营状态承诺：我公司处于正常生产经营状态，没有处于被责令停业、投标资格被取消、财产处于被接管、冻结或破产状态；</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十、履约历史承诺：投标时（以递交投标文件截止时间为准）未被列入淮北市农民工工资支付保障领导小组办公室出具的《淮北市建筑领域“黑名单”企业和个人一览表》；</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十一、</w:t>
      </w:r>
      <w:r>
        <w:rPr>
          <w:rFonts w:hint="eastAsia" w:asciiTheme="minorEastAsia" w:hAnsiTheme="minorEastAsia" w:eastAsiaTheme="minorEastAsia" w:cstheme="minorEastAsia"/>
          <w:sz w:val="21"/>
          <w:szCs w:val="21"/>
        </w:rPr>
        <w:t>项目负责人动态承诺：拟派项目负责人投标时（以递交投标文件截止时间为准）无在建项目、无拟中标已公示项目；</w:t>
      </w:r>
    </w:p>
    <w:p>
      <w:pPr>
        <w:widowControl/>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十二、无行贿犯罪行为承诺书：</w:t>
      </w:r>
      <w:r>
        <w:rPr>
          <w:rFonts w:hint="eastAsia" w:asciiTheme="minorEastAsia" w:hAnsiTheme="minorEastAsia" w:eastAsiaTheme="minorEastAsia" w:cstheme="minorEastAsia"/>
          <w:sz w:val="21"/>
          <w:szCs w:val="21"/>
          <w:u w:val="single"/>
        </w:rPr>
        <w:t>投标人（单位名称）</w:t>
      </w:r>
      <w:r>
        <w:rPr>
          <w:rFonts w:hint="eastAsia" w:asciiTheme="minorEastAsia" w:hAnsiTheme="minorEastAsia" w:eastAsiaTheme="minorEastAsia" w:cstheme="minorEastAsia"/>
          <w:sz w:val="21"/>
          <w:szCs w:val="21"/>
        </w:rPr>
        <w:t>承诺：我单位法定代表人</w:t>
      </w:r>
      <w:r>
        <w:rPr>
          <w:rFonts w:hint="eastAsia" w:asciiTheme="minorEastAsia" w:hAnsiTheme="minorEastAsia" w:eastAsiaTheme="minorEastAsia" w:cstheme="minorEastAsia"/>
          <w:sz w:val="21"/>
          <w:szCs w:val="21"/>
          <w:u w:val="single"/>
        </w:rPr>
        <w:t>（姓名）</w:t>
      </w:r>
      <w:r>
        <w:rPr>
          <w:rFonts w:hint="eastAsia" w:asciiTheme="minorEastAsia" w:hAnsiTheme="minorEastAsia" w:eastAsiaTheme="minorEastAsia" w:cstheme="minorEastAsia"/>
          <w:sz w:val="21"/>
          <w:szCs w:val="21"/>
        </w:rPr>
        <w:t>及拟派项目负责人</w:t>
      </w:r>
      <w:r>
        <w:rPr>
          <w:rFonts w:hint="eastAsia" w:asciiTheme="minorEastAsia" w:hAnsiTheme="minorEastAsia" w:eastAsiaTheme="minorEastAsia" w:cstheme="minorEastAsia"/>
          <w:sz w:val="21"/>
          <w:szCs w:val="21"/>
          <w:u w:val="single"/>
        </w:rPr>
        <w:t>（姓名）、</w:t>
      </w:r>
      <w:r>
        <w:rPr>
          <w:rFonts w:hint="eastAsia" w:asciiTheme="minorEastAsia" w:hAnsiTheme="minorEastAsia" w:eastAsiaTheme="minorEastAsia" w:cstheme="minorEastAsia"/>
          <w:sz w:val="21"/>
          <w:szCs w:val="21"/>
        </w:rPr>
        <w:t>拟派设计负责人</w:t>
      </w:r>
      <w:r>
        <w:rPr>
          <w:rFonts w:hint="eastAsia" w:asciiTheme="minorEastAsia" w:hAnsiTheme="minorEastAsia" w:eastAsiaTheme="minorEastAsia" w:cstheme="minorEastAsia"/>
          <w:sz w:val="21"/>
          <w:szCs w:val="21"/>
          <w:u w:val="single"/>
        </w:rPr>
        <w:t>（姓名）</w:t>
      </w:r>
      <w:r>
        <w:rPr>
          <w:rFonts w:hint="eastAsia" w:asciiTheme="minorEastAsia" w:hAnsiTheme="minorEastAsia" w:eastAsiaTheme="minorEastAsia" w:cstheme="minorEastAsia"/>
          <w:sz w:val="21"/>
          <w:szCs w:val="21"/>
        </w:rPr>
        <w:t>截至投标时（以递交的投标文件截止为准）均无行贿犯罪行为；</w:t>
      </w:r>
    </w:p>
    <w:p>
      <w:pPr>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十三、法律法规、行政处罚禁止投标：我公司不属于招标人的任何不具独立法人资格的附属机构（单位），或者为招标项目的前期准备或者监理工作提供设计、咨询服务的任何法人及其附属机构（单位）； 我公司未受到因围标、串标、弄虚作假骗取中标、出现重大工程质量或安全事故等受到限制投标的行政处罚（处于投标限制期限内）；</w:t>
      </w:r>
    </w:p>
    <w:p>
      <w:pPr>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十四、联系电话真实有效承诺：我公司承诺提供的以下法定代表人、拟派项目负责人联系电话真实有效，公司办公联系电话为公司注册地的联系电话且真实有效。我公司自愿在中标公示中对所提供的联系电话予以公示，如经核实所提供的联系电话中有虚假或无效或不属实的，招标人有权取消我公司中标资格，我公司对取消中标资格的处理无异议。我公司承诺中标公示期间以下联系电话均不变更，否则按所提供的联系电话中有虚假或无效或不属实的处理。公示期满后如有变更的，将主动及时书面通知招标人。</w:t>
      </w:r>
    </w:p>
    <w:p>
      <w:pPr>
        <w:autoSpaceDE/>
        <w:autoSpaceDN/>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十五、投标人（单位名称）承诺：投标时我公司在中国执行信息公开网站、信用中国网站查询未被列入失信人名单。 </w:t>
      </w:r>
    </w:p>
    <w:p>
      <w:pPr>
        <w:autoSpaceDE/>
        <w:autoSpaceDN/>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投标时企业法定代表人在中国执行信息公开网站查询未被列入失信人名单。 </w:t>
      </w:r>
    </w:p>
    <w:p>
      <w:pPr>
        <w:autoSpaceDE/>
        <w:autoSpaceDN/>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投标时拟派</w:t>
      </w:r>
      <w:r>
        <w:rPr>
          <w:rFonts w:hint="eastAsia" w:asciiTheme="minorEastAsia" w:hAnsiTheme="minorEastAsia" w:eastAsiaTheme="minorEastAsia" w:cstheme="minorEastAsia"/>
          <w:sz w:val="21"/>
          <w:szCs w:val="21"/>
        </w:rPr>
        <w:t>项目负责人、设计负责人</w:t>
      </w:r>
      <w:r>
        <w:rPr>
          <w:rFonts w:hint="eastAsia" w:asciiTheme="minorEastAsia" w:hAnsiTheme="minorEastAsia" w:eastAsiaTheme="minorEastAsia" w:cstheme="minorEastAsia"/>
          <w:bCs/>
          <w:sz w:val="21"/>
          <w:szCs w:val="21"/>
        </w:rPr>
        <w:t>设计负责人在中国执行信息公开网站查询未被列入失信人名单。</w:t>
      </w:r>
    </w:p>
    <w:p>
      <w:pPr>
        <w:autoSpaceDE/>
        <w:autoSpaceDN/>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若存在，同意取消我单位中标资格，并追究我单位相关法律责任</w:t>
      </w:r>
    </w:p>
    <w:p>
      <w:pPr>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法定代表人（姓名）</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u w:val="single"/>
          <w:lang w:val="en-US"/>
        </w:rPr>
        <w:t xml:space="preserve">     </w:t>
      </w:r>
      <w:r>
        <w:rPr>
          <w:rFonts w:hint="eastAsia" w:asciiTheme="minorEastAsia" w:hAnsiTheme="minorEastAsia" w:eastAsiaTheme="minorEastAsia" w:cstheme="minorEastAsia"/>
          <w:bCs/>
          <w:sz w:val="21"/>
          <w:szCs w:val="21"/>
          <w:lang w:val="en-US"/>
        </w:rPr>
        <w:t xml:space="preserve"> </w:t>
      </w:r>
      <w:r>
        <w:rPr>
          <w:rFonts w:hint="eastAsia" w:asciiTheme="minorEastAsia" w:hAnsiTheme="minorEastAsia" w:eastAsiaTheme="minorEastAsia" w:cstheme="minorEastAsia"/>
          <w:bCs/>
          <w:sz w:val="21"/>
          <w:szCs w:val="21"/>
        </w:rPr>
        <w:t>电话：</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.手机：</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w:t>
      </w:r>
    </w:p>
    <w:p>
      <w:pPr>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拟派项目负责人（姓名）</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 xml:space="preserve"> 手机：</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 xml:space="preserve">       .</w:t>
      </w:r>
    </w:p>
    <w:p>
      <w:pPr>
        <w:spacing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公司办公联系电话（公司注册地联系电话）：</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传真：</w:t>
      </w:r>
      <w:r>
        <w:rPr>
          <w:rFonts w:hint="eastAsia" w:asciiTheme="minorEastAsia" w:hAnsiTheme="minorEastAsia" w:eastAsiaTheme="minorEastAsia" w:cstheme="minorEastAsia"/>
          <w:bCs/>
          <w:sz w:val="21"/>
          <w:szCs w:val="21"/>
          <w:u w:val="single"/>
        </w:rPr>
        <w:t xml:space="preserve">      </w:t>
      </w:r>
      <w:r>
        <w:rPr>
          <w:rFonts w:hint="eastAsia" w:asciiTheme="minorEastAsia" w:hAnsiTheme="minorEastAsia" w:eastAsiaTheme="minorEastAsia" w:cstheme="minorEastAsia"/>
          <w:bCs/>
          <w:sz w:val="21"/>
          <w:szCs w:val="21"/>
        </w:rPr>
        <w:t xml:space="preserve"> .</w:t>
      </w:r>
    </w:p>
    <w:p>
      <w:pPr>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以上内容我已仔细阅读，本公司若有违反承诺内容的行为，自愿承担招标文件确定的责任和法律责任并接受相关行政部门给予的处理和处罚。给招标人造成损失的，依法承担赔偿责任。</w:t>
      </w:r>
    </w:p>
    <w:p>
      <w:pPr>
        <w:adjustRightInd w:val="0"/>
        <w:snapToGrid w:val="0"/>
        <w:spacing w:line="360" w:lineRule="auto"/>
        <w:rPr>
          <w:rFonts w:asciiTheme="minorEastAsia" w:hAnsiTheme="minorEastAsia" w:eastAsiaTheme="minorEastAsia" w:cstheme="minorEastAsia"/>
          <w:sz w:val="21"/>
          <w:szCs w:val="21"/>
        </w:rPr>
      </w:pPr>
    </w:p>
    <w:p>
      <w:pPr>
        <w:pStyle w:val="2"/>
        <w:spacing w:after="0" w:line="360" w:lineRule="auto"/>
        <w:ind w:left="0"/>
        <w:jc w:val="right"/>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bCs/>
          <w:szCs w:val="21"/>
          <w:lang w:val="en-US"/>
        </w:rPr>
        <w:t>投标单位(公章) :   年   月    日</w:t>
      </w:r>
    </w:p>
    <w:p>
      <w:pPr>
        <w:widowControl/>
        <w:spacing w:line="360" w:lineRule="auto"/>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法定代表人（</w:t>
      </w:r>
      <w:r>
        <w:rPr>
          <w:rFonts w:hint="eastAsia" w:asciiTheme="minorEastAsia" w:hAnsiTheme="minorEastAsia" w:eastAsiaTheme="minorEastAsia" w:cstheme="minorEastAsia"/>
          <w:sz w:val="21"/>
          <w:szCs w:val="21"/>
          <w:lang w:val="en-US"/>
        </w:rPr>
        <w:t>签字或盖章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lang w:val="en-US"/>
        </w:rPr>
        <w:t xml:space="preserve">                  </w:t>
      </w:r>
      <w:r>
        <w:rPr>
          <w:rFonts w:hint="eastAsia" w:asciiTheme="minorEastAsia" w:hAnsiTheme="minorEastAsia" w:eastAsiaTheme="minorEastAsia" w:cstheme="minorEastAsia"/>
          <w:sz w:val="21"/>
          <w:szCs w:val="21"/>
          <w:lang w:val="en-US"/>
        </w:rPr>
        <w:t xml:space="preserve"> </w:t>
      </w:r>
    </w:p>
    <w:p>
      <w:pPr>
        <w:spacing w:line="360" w:lineRule="auto"/>
        <w:ind w:firstLine="210"/>
        <w:rPr>
          <w:rFonts w:asciiTheme="minorEastAsia" w:hAnsiTheme="minorEastAsia" w:eastAsiaTheme="minorEastAsia" w:cstheme="minorEastAsia"/>
          <w:sz w:val="21"/>
          <w:szCs w:val="21"/>
        </w:rPr>
      </w:pP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联合体投标时，联合体各方均需签署此承诺书。</w:t>
      </w:r>
    </w:p>
    <w:p>
      <w:pPr>
        <w:spacing w:line="360" w:lineRule="auto"/>
        <w:rPr>
          <w:rFonts w:asciiTheme="minorEastAsia" w:hAnsiTheme="minorEastAsia" w:eastAsiaTheme="minorEastAsia" w:cstheme="minorEastAsia"/>
        </w:rPr>
      </w:pPr>
    </w:p>
    <w:p>
      <w:pPr>
        <w:jc w:val="center"/>
        <w:rPr>
          <w:rFonts w:asciiTheme="minorEastAsia" w:hAnsiTheme="minorEastAsia" w:eastAsiaTheme="minorEastAsia" w:cstheme="minorEastAsia"/>
          <w:b/>
          <w:bCs/>
          <w:sz w:val="21"/>
          <w:szCs w:val="21"/>
        </w:rPr>
        <w:sectPr>
          <w:pgSz w:w="11910" w:h="16850"/>
          <w:pgMar w:top="1440" w:right="1800" w:bottom="1440" w:left="1800" w:header="0" w:footer="996" w:gutter="0"/>
          <w:cols w:space="720" w:num="1"/>
          <w:docGrid w:linePitch="299" w:charSpace="0"/>
        </w:sectPr>
      </w:pPr>
    </w:p>
    <w:p>
      <w:pPr>
        <w:pStyle w:val="6"/>
        <w:spacing w:line="360" w:lineRule="auto"/>
        <w:ind w:left="0" w:firstLine="0"/>
        <w:jc w:val="center"/>
        <w:rPr>
          <w:rFonts w:asciiTheme="minorEastAsia" w:hAnsiTheme="minorEastAsia" w:eastAsiaTheme="minorEastAsia" w:cstheme="minorEastAsia"/>
          <w:b/>
          <w:bCs/>
          <w:sz w:val="28"/>
          <w:szCs w:val="21"/>
        </w:rPr>
      </w:pPr>
      <w:bookmarkStart w:id="1604" w:name="_Toc113958642"/>
      <w:bookmarkStart w:id="1605" w:name="_Toc6278"/>
      <w:r>
        <w:rPr>
          <w:rFonts w:hint="eastAsia" w:asciiTheme="minorEastAsia" w:hAnsiTheme="minorEastAsia" w:eastAsiaTheme="minorEastAsia" w:cstheme="minorEastAsia"/>
          <w:b/>
          <w:bCs/>
          <w:sz w:val="28"/>
          <w:szCs w:val="21"/>
        </w:rPr>
        <w:t>十、其他资料</w:t>
      </w:r>
      <w:bookmarkEnd w:id="1604"/>
      <w:bookmarkEnd w:id="1605"/>
    </w:p>
    <w:p>
      <w:pPr>
        <w:spacing w:line="400" w:lineRule="exact"/>
        <w:rPr>
          <w:rFonts w:asciiTheme="minorEastAsia" w:hAnsiTheme="minorEastAsia" w:eastAsiaTheme="minorEastAsia" w:cstheme="minorEastAsia"/>
          <w:sz w:val="21"/>
          <w:szCs w:val="21"/>
        </w:rPr>
      </w:pPr>
    </w:p>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注：对照本招标文件的要求，自行提供其他相关资料。</w:t>
      </w:r>
    </w:p>
    <w:p>
      <w:pPr>
        <w:tabs>
          <w:tab w:val="left" w:pos="8528"/>
        </w:tabs>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p>
      <w:pPr>
        <w:sectPr>
          <w:pgSz w:w="11910" w:h="16850"/>
          <w:pgMar w:top="1440" w:right="1800" w:bottom="1440" w:left="1800" w:header="0" w:footer="996" w:gutter="0"/>
          <w:cols w:space="720" w:num="1"/>
          <w:docGrid w:linePitch="299" w:charSpace="0"/>
        </w:sectPr>
      </w:pPr>
    </w:p>
    <w:p>
      <w:pPr>
        <w:pStyle w:val="5"/>
        <w:numPr>
          <w:ilvl w:val="0"/>
          <w:numId w:val="4"/>
        </w:numPr>
        <w:spacing w:before="0" w:line="360" w:lineRule="auto"/>
        <w:ind w:left="0"/>
        <w:jc w:val="center"/>
        <w:rPr>
          <w:rFonts w:asciiTheme="minorEastAsia" w:hAnsiTheme="minorEastAsia" w:eastAsiaTheme="minorEastAsia" w:cstheme="minorEastAsia"/>
          <w:sz w:val="32"/>
          <w:szCs w:val="32"/>
        </w:rPr>
      </w:pPr>
      <w:bookmarkStart w:id="1606" w:name="_Toc21947"/>
      <w:r>
        <w:rPr>
          <w:rFonts w:hint="eastAsia" w:asciiTheme="minorEastAsia" w:hAnsiTheme="minorEastAsia" w:eastAsiaTheme="minorEastAsia" w:cstheme="minorEastAsia"/>
          <w:sz w:val="32"/>
          <w:szCs w:val="32"/>
        </w:rPr>
        <w:t>招标人、招标代理机构、招投标监管部门对本招标文件的意见</w:t>
      </w:r>
      <w:bookmarkEnd w:id="1606"/>
    </w:p>
    <w:tbl>
      <w:tblPr>
        <w:tblStyle w:val="47"/>
        <w:tblpPr w:leftFromText="180" w:rightFromText="180" w:vertAnchor="text" w:horzAnchor="page" w:tblpXSpec="center" w:tblpY="45"/>
        <w:tblOverlap w:val="never"/>
        <w:tblW w:w="90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6" w:hRule="atLeast"/>
        </w:trPr>
        <w:tc>
          <w:tcPr>
            <w:tcW w:w="9041" w:type="dxa"/>
          </w:tcPr>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我单位对招标文件全部内容予以认可并对其负责。</w:t>
            </w:r>
          </w:p>
          <w:p>
            <w:pPr>
              <w:adjustRightInd w:val="0"/>
              <w:snapToGrid w:val="0"/>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招标单位： </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XXX</w:t>
            </w:r>
          </w:p>
          <w:p>
            <w:pPr>
              <w:tabs>
                <w:tab w:val="left" w:pos="6297"/>
              </w:tabs>
              <w:adjustRightInd w:val="0"/>
              <w:snapToGrid w:val="0"/>
              <w:spacing w:line="360" w:lineRule="auto"/>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经 办 人：</w:t>
            </w:r>
            <w:r>
              <w:rPr>
                <w:rFonts w:hint="eastAsia" w:asciiTheme="minorEastAsia" w:hAnsiTheme="minorEastAsia" w:eastAsiaTheme="minorEastAsia" w:cstheme="minorEastAsia"/>
                <w:sz w:val="21"/>
                <w:szCs w:val="21"/>
                <w:lang w:val="en-US"/>
              </w:rPr>
              <w:t xml:space="preserve"> </w:t>
            </w:r>
          </w:p>
          <w:p>
            <w:pPr>
              <w:tabs>
                <w:tab w:val="left" w:pos="6297"/>
              </w:tabs>
              <w:adjustRightInd w:val="0"/>
              <w:snapToGrid w:val="0"/>
              <w:spacing w:line="360" w:lineRule="auto"/>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rPr>
              <w:tab/>
            </w:r>
          </w:p>
          <w:p>
            <w:pPr>
              <w:tabs>
                <w:tab w:val="left" w:pos="6297"/>
              </w:tabs>
              <w:spacing w:line="360" w:lineRule="auto"/>
              <w:ind w:firstLine="6359" w:firstLineChars="3028"/>
              <w:jc w:val="right"/>
              <w:rPr>
                <w:rFonts w:asciiTheme="minorEastAsia" w:hAnsiTheme="minorEastAsia" w:eastAsiaTheme="minorEastAsia" w:cstheme="minorEastAsia"/>
                <w:sz w:val="21"/>
                <w:szCs w:val="21"/>
              </w:rPr>
            </w:pPr>
          </w:p>
          <w:p>
            <w:pPr>
              <w:tabs>
                <w:tab w:val="left" w:pos="6297"/>
              </w:tabs>
              <w:spacing w:line="360" w:lineRule="auto"/>
              <w:ind w:firstLine="6359" w:firstLineChars="3028"/>
              <w:jc w:val="right"/>
              <w:rPr>
                <w:rFonts w:asciiTheme="minorEastAsia" w:hAnsiTheme="minorEastAsia" w:eastAsiaTheme="minorEastAsia" w:cstheme="minorEastAsia"/>
                <w:sz w:val="21"/>
                <w:szCs w:val="21"/>
              </w:rPr>
            </w:pPr>
          </w:p>
          <w:p>
            <w:pPr>
              <w:tabs>
                <w:tab w:val="left" w:pos="6297"/>
              </w:tabs>
              <w:spacing w:line="360" w:lineRule="auto"/>
              <w:ind w:firstLine="6359" w:firstLineChars="3028"/>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（单位盖章）</w:t>
            </w:r>
          </w:p>
          <w:p>
            <w:pPr>
              <w:tabs>
                <w:tab w:val="left" w:pos="6076"/>
                <w:tab w:val="left" w:pos="6322"/>
              </w:tabs>
              <w:spacing w:line="360" w:lineRule="auto"/>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2023年</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19" w:hRule="atLeast"/>
        </w:trPr>
        <w:tc>
          <w:tcPr>
            <w:tcW w:w="9041" w:type="dxa"/>
          </w:tcPr>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本次招标文件由我们公司编制，全部内容无违反国家法律法规、地方性规范性文件及有失公平的条款。</w:t>
            </w:r>
          </w:p>
          <w:p>
            <w:pPr>
              <w:widowControl/>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招标代理机构：XXX</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 办 人：</w:t>
            </w:r>
            <w:r>
              <w:rPr>
                <w:rFonts w:asciiTheme="minorEastAsia" w:hAnsiTheme="minorEastAsia" w:eastAsiaTheme="minorEastAsia" w:cstheme="minorEastAsia"/>
                <w:sz w:val="21"/>
                <w:szCs w:val="21"/>
              </w:rPr>
              <w:t xml:space="preserve"> </w:t>
            </w:r>
          </w:p>
          <w:p>
            <w:pPr>
              <w:spacing w:line="360" w:lineRule="auto"/>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联系电话：</w:t>
            </w:r>
          </w:p>
          <w:p>
            <w:pPr>
              <w:tabs>
                <w:tab w:val="left" w:pos="5918"/>
                <w:tab w:val="left" w:pos="6199"/>
              </w:tabs>
              <w:spacing w:line="360" w:lineRule="auto"/>
              <w:rPr>
                <w:rFonts w:asciiTheme="minorEastAsia" w:hAnsiTheme="minorEastAsia" w:eastAsiaTheme="minorEastAsia" w:cstheme="minorEastAsia"/>
                <w:sz w:val="21"/>
                <w:szCs w:val="21"/>
              </w:rPr>
            </w:pPr>
          </w:p>
          <w:p>
            <w:pPr>
              <w:tabs>
                <w:tab w:val="left" w:pos="5918"/>
                <w:tab w:val="left" w:pos="6199"/>
              </w:tabs>
              <w:spacing w:line="360" w:lineRule="auto"/>
              <w:ind w:firstLine="6405" w:firstLineChars="3050"/>
              <w:rPr>
                <w:rFonts w:asciiTheme="minorEastAsia" w:hAnsiTheme="minorEastAsia" w:eastAsiaTheme="minorEastAsia" w:cstheme="minorEastAsia"/>
                <w:sz w:val="21"/>
                <w:szCs w:val="21"/>
              </w:rPr>
            </w:pPr>
          </w:p>
          <w:p>
            <w:pPr>
              <w:tabs>
                <w:tab w:val="left" w:pos="5918"/>
                <w:tab w:val="left" w:pos="6199"/>
              </w:tabs>
              <w:spacing w:line="360" w:lineRule="auto"/>
              <w:ind w:firstLine="6405" w:firstLineChars="305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（单位盖章）</w:t>
            </w:r>
          </w:p>
          <w:p>
            <w:pPr>
              <w:tabs>
                <w:tab w:val="left" w:pos="5918"/>
                <w:tab w:val="left" w:pos="6199"/>
              </w:tabs>
              <w:spacing w:line="360" w:lineRule="auto"/>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2023年</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日</w:t>
            </w:r>
          </w:p>
        </w:tc>
      </w:tr>
    </w:tbl>
    <w:p>
      <w:pPr>
        <w:rPr>
          <w:rFonts w:asciiTheme="minorEastAsia" w:hAnsiTheme="minorEastAsia" w:eastAsiaTheme="minorEastAsia" w:cstheme="minorEastAsia"/>
          <w:sz w:val="21"/>
          <w:szCs w:val="21"/>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Arial">
    <w:panose1 w:val="020B06040202020202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Times">
    <w:altName w:val="Times New Roman"/>
    <w:panose1 w:val="02020603050405020304"/>
    <w:charset w:val="00"/>
    <w:family w:val="decorative"/>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Times">
    <w:altName w:val="Times New Roman"/>
    <w:panose1 w:val="02020603050405020304"/>
    <w:charset w:val="00"/>
    <w:family w:val="modern"/>
    <w:pitch w:val="default"/>
    <w:sig w:usb0="00000000" w:usb1="00000000" w:usb2="00000009" w:usb3="00000000" w:csb0="000001FF" w:csb1="00000000"/>
  </w:font>
  <w:font w:name="Wingdings 2">
    <w:panose1 w:val="05020102010507070707"/>
    <w:charset w:val="02"/>
    <w:family w:val="modern"/>
    <w:pitch w:val="default"/>
    <w:sig w:usb0="00000000" w:usb1="00000000" w:usb2="00000000" w:usb3="00000000" w:csb0="80000000" w:csb1="00000000"/>
  </w:font>
  <w:font w:name="Courier New">
    <w:panose1 w:val="02070309020205020404"/>
    <w:charset w:val="00"/>
    <w:family w:val="roma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Arial">
    <w:panose1 w:val="020B0604020202020204"/>
    <w:charset w:val="00"/>
    <w:family w:val="roman"/>
    <w:pitch w:val="default"/>
    <w:sig w:usb0="E0002AFF" w:usb1="C0007843" w:usb2="00000009" w:usb3="00000000" w:csb0="400001FF" w:csb1="FFFF0000"/>
  </w:font>
  <w:font w:name="Times">
    <w:altName w:val="Times New Roman"/>
    <w:panose1 w:val="02020603050405020304"/>
    <w:charset w:val="00"/>
    <w:family w:val="swiss"/>
    <w:pitch w:val="default"/>
    <w:sig w:usb0="00000000" w:usb1="00000000" w:usb2="00000009" w:usb3="00000000" w:csb0="000001FF" w:csb1="00000000"/>
  </w:font>
  <w:font w:name="Wingdings 2">
    <w:panose1 w:val="05020102010507070707"/>
    <w:charset w:val="02"/>
    <w:family w:val="swiss"/>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Courier New">
    <w:panose1 w:val="02070309020205020404"/>
    <w:charset w:val="00"/>
    <w:family w:val="swiss"/>
    <w:pitch w:val="default"/>
    <w:sig w:usb0="E0002AFF" w:usb1="C0007843" w:usb2="00000009" w:usb3="00000000" w:csb0="400001FF" w:csb1="FFFF0000"/>
  </w:font>
  <w:font w:name="微软雅黑">
    <w:panose1 w:val="020B0503020204020204"/>
    <w:charset w:val="86"/>
    <w:family w:val="decorative"/>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3"/>
      <w:jc w:val="cente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jc w:val="center"/>
                          </w:pPr>
                          <w:r>
                            <w:fldChar w:fldCharType="begin"/>
                          </w:r>
                          <w:r>
                            <w:instrText xml:space="preserve">PAGE   \* MERGEFORMAT</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3"/>
                      <w:jc w:val="center"/>
                    </w:pPr>
                    <w:r>
                      <w:fldChar w:fldCharType="begin"/>
                    </w:r>
                    <w:r>
                      <w:instrText xml:space="preserve">PAGE   \* MERGEFORMAT</w:instrText>
                    </w:r>
                    <w:r>
                      <w:fldChar w:fldCharType="separate"/>
                    </w:r>
                    <w:r>
                      <w:t>36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24" w:lineRule="exact"/>
      <w:ind w:firstLine="4336"/>
      <w:rPr>
        <w:rFonts w:ascii="Times New Roman" w:hAnsi="Times New Roman" w:eastAsia="Times New Roman" w:cs="Times New Roman"/>
        <w:sz w:val="18"/>
        <w:szCs w:val="18"/>
      </w:rPr>
    </w:pPr>
    <w:r>
      <w:rPr>
        <w:sz w:val="18"/>
        <w:lang w:val="en-US" w:bidi="ar-SA"/>
      </w:rPr>
      <mc:AlternateContent>
        <mc:Choice Requires="wps">
          <w:drawing>
            <wp:anchor distT="0" distB="0" distL="114300" distR="114300" simplePos="0" relativeHeight="251659264" behindDoc="0" locked="0" layoutInCell="1" allowOverlap="1">
              <wp:simplePos x="0" y="0"/>
              <wp:positionH relativeFrom="margin">
                <wp:posOffset>2355850</wp:posOffset>
              </wp:positionH>
              <wp:positionV relativeFrom="paragraph">
                <wp:posOffset>-137160</wp:posOffset>
              </wp:positionV>
              <wp:extent cx="631825" cy="285115"/>
              <wp:effectExtent l="0" t="0" r="0" b="0"/>
              <wp:wrapNone/>
              <wp:docPr id="4100" name="文本框 7"/>
              <wp:cNvGraphicFramePr/>
              <a:graphic xmlns:a="http://schemas.openxmlformats.org/drawingml/2006/main">
                <a:graphicData uri="http://schemas.microsoft.com/office/word/2010/wordprocessingShape">
                  <wps:wsp>
                    <wps:cNvSpPr/>
                    <wps:spPr>
                      <a:xfrm>
                        <a:off x="0" y="0"/>
                        <a:ext cx="631825" cy="285115"/>
                      </a:xfrm>
                      <a:prstGeom prst="rect">
                        <a:avLst/>
                      </a:prstGeom>
                      <a:ln>
                        <a:noFill/>
                      </a:ln>
                    </wps:spPr>
                    <wps:txbx>
                      <w:txbxContent>
                        <w:p>
                          <w:pPr>
                            <w:pStyle w:val="23"/>
                          </w:pPr>
                          <w:r>
                            <w:fldChar w:fldCharType="begin"/>
                          </w:r>
                          <w:r>
                            <w:instrText xml:space="preserve"> PAGE  \* MERGEFORMAT </w:instrText>
                          </w:r>
                          <w:r>
                            <w:fldChar w:fldCharType="separate"/>
                          </w:r>
                          <w:r>
                            <w:t>47</w:t>
                          </w:r>
                          <w:r>
                            <w:fldChar w:fldCharType="end"/>
                          </w:r>
                        </w:p>
                      </w:txbxContent>
                    </wps:txbx>
                    <wps:bodyPr vert="horz" wrap="square" lIns="0" tIns="0" rIns="0" bIns="0" anchor="t">
                      <a:noAutofit/>
                    </wps:bodyPr>
                  </wps:wsp>
                </a:graphicData>
              </a:graphic>
            </wp:anchor>
          </w:drawing>
        </mc:Choice>
        <mc:Fallback>
          <w:pict>
            <v:rect id="文本框 7" o:spid="_x0000_s1026" o:spt="1" style="position:absolute;left:0pt;margin-left:185.5pt;margin-top:-10.8pt;height:22.45pt;width:49.75pt;mso-position-horizontal-relative:margin;z-index:251659264;mso-width-relative:page;mso-height-relative:page;" filled="f" stroked="f" coordsize="21600,21600" o:gfxdata="UEsDBAoAAAAAAIdO4kAAAAAAAAAAAAAAAAAEAAAAZHJzL1BLAwQUAAAACACHTuJAreDu+dsAAAAK&#10;AQAADwAAAGRycy9kb3ducmV2LnhtbE2PS0/DMBCE70j8B2uRuLXOA/oI2VSIh8oRWqTCzY2XJMJe&#10;R7HbFH495gTH0YxmvilXJ2vEkQbfOUZIpwkI4trpjhuE1+3jZAHCB8VaGceE8EUeVtX5WakK7UZ+&#10;oeMmNCKWsC8UQhtCX0jp65as8lPXE0fvww1WhSiHRupBjbHcGpklyUxa1XFcaFVPdy3Vn5uDRVgv&#10;+tu3J/c9Nubhfb173i3vt8uAeHmRJjcgAp3CXxh+8SM6VJFp7w6svTAI+TyNXwLCJEtnIGLiap5c&#10;g9gjZHkOsirl/wvVD1BLAwQUAAAACACHTuJARRQPTbQBAABEAwAADgAAAGRycy9lMm9Eb2MueG1s&#10;rVLBjtMwEL0j8Q+W7zRJoUtVNV0hrRYhIVhp4QNcx24sxR4zdpuUD4A/4MSFO9/V72DspF20e0Nc&#10;JmOP8+a9N7O+HmzHDgqDAVfzalZyppyExrhdzT9/un2x5CxE4RrRgVM1P6rArzfPn617v1JzaKFr&#10;FDICcWHV+5q3MfpVUQTZKivCDLxyVNSAVkQ64q5oUPSEbrtiXpZXRQ/YeASpQqDbm7HINxlfayXj&#10;R62DiqyrOXGLOWKO2xSLzVqsdih8a+REQ/wDCyuMo6YXqBsRBdujeQJljUQIoONMgi1AayNV1kBq&#10;qvKRmvtWeJW1kDnBX2wK/w9WfjjcITNNzV9VJRnkhKUpnX58P/38ffr1jb1ODvU+rOjhvb/D6RQo&#10;TXIHjTZ9SQgbsqvHi6tqiEzS5dXLajlfcCapNF8uqmqRMIuHnz2G+FaBZSmpOdLQspfi8D7E8en5&#10;SerVuRQd3JquG6vppkgkR1opi8N2mLhuoTmSRlpSAm8Bv3LW08BrHr7sBSrOuneOHE3bcU7wnGzP&#10;iXCSfq35yMzBm30EbTK71G7sMbGgUWV901qlXfj7nF89LP/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3g7vnbAAAACgEAAA8AAAAAAAAAAQAgAAAAIgAAAGRycy9kb3ducmV2LnhtbFBLAQIUABQA&#10;AAAIAIdO4kBFFA9NtAEAAEQDAAAOAAAAAAAAAAEAIAAAACoBAABkcnMvZTJvRG9jLnhtbFBLBQYA&#10;AAAABgAGAFkBAABQBQAAAAA=&#10;">
              <v:fill on="f" focussize="0,0"/>
              <v:stroke on="f"/>
              <v:imagedata o:title=""/>
              <o:lock v:ext="edit" aspectratio="f"/>
              <v:textbox inset="0mm,0mm,0mm,0mm">
                <w:txbxContent>
                  <w:p>
                    <w:pPr>
                      <w:pStyle w:val="23"/>
                    </w:pPr>
                    <w:r>
                      <w:fldChar w:fldCharType="begin"/>
                    </w:r>
                    <w:r>
                      <w:instrText xml:space="preserve"> PAGE  \* MERGEFORMAT </w:instrText>
                    </w:r>
                    <w:r>
                      <w:fldChar w:fldCharType="separate"/>
                    </w:r>
                    <w:r>
                      <w:t>47</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6"/>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47955"/>
              <wp:effectExtent l="0" t="0" r="0" b="0"/>
              <wp:wrapNone/>
              <wp:docPr id="4101" name="文本框 5"/>
              <wp:cNvGraphicFramePr/>
              <a:graphic xmlns:a="http://schemas.openxmlformats.org/drawingml/2006/main">
                <a:graphicData uri="http://schemas.microsoft.com/office/word/2010/wordprocessingShape">
                  <wps:wsp>
                    <wps:cNvSpPr/>
                    <wps:spPr>
                      <a:xfrm>
                        <a:off x="0" y="0"/>
                        <a:ext cx="172085" cy="147955"/>
                      </a:xfrm>
                      <a:prstGeom prst="rect">
                        <a:avLst/>
                      </a:prstGeom>
                      <a:ln>
                        <a:noFill/>
                      </a:ln>
                    </wps:spPr>
                    <wps:txbx>
                      <w:txbxContent>
                        <w:p>
                          <w:pPr>
                            <w:pStyle w:val="23"/>
                          </w:pPr>
                          <w:r>
                            <w:fldChar w:fldCharType="begin"/>
                          </w:r>
                          <w:r>
                            <w:instrText xml:space="preserve"> PAGE  \* MERGEFORMAT </w:instrText>
                          </w:r>
                          <w:r>
                            <w:fldChar w:fldCharType="separate"/>
                          </w:r>
                          <w:r>
                            <w:t>137</w:t>
                          </w:r>
                          <w: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1.65pt;width:13.55pt;mso-position-horizontal:center;mso-position-horizontal-relative:margin;mso-wrap-style:none;z-index:251660288;mso-width-relative:page;mso-height-relative:page;" filled="f" stroked="f" coordsize="21600,21600" o:gfxdata="UEsDBAoAAAAAAIdO4kAAAAAAAAAAAAAAAAAEAAAAZHJzL1BLAwQUAAAACACHTuJAy4+9KNEAAAAD&#10;AQAADwAAAGRycy9kb3ducmV2LnhtbE2PzU7DMBCE70i8g7VI3KidVIIqxOkBqRIgLk37AG68+RH2&#10;OrLdprw9Cxe47Gg1q5lv6+3VO3HBmKZAGoqVAoHUBTvRoOF42D1sQKRsyBoXCDV8YYJtc3tTm8qG&#10;hfZ4afMgOIRSZTSMOc+VlKkb0Zu0CjMSe32I3mRe4yBtNAuHeydLpR6lNxNxw2hmfBmx+2zPXoM8&#10;tLtl07qownvZf7i3132PQev7u0I9g8h4zX/H8IPP6NAw0ymcySbhNPAj+XeyVz4VIE6s6zXIppb/&#10;2ZtvUEsDBBQAAAAIAIdO4kCbFudwswEAAEIDAAAOAAAAZHJzL2Uyb0RvYy54bWytUs1uEzEQviPx&#10;DpbvxLtRQ8sqToVUFSEhqFR4AMfrzVryn8ZudsMDwBtw4sKd58pzMPZuUkRvFZfx2DP+5vtmZn09&#10;WkP2CqL2jtN6UVGinPStdjtOv3y+fXVFSUzCtcJ4pzg9qEivNy9frIfQqKXvvWkVEARxsRkCp31K&#10;oWEsyl5ZERc+KIfBzoMVCa+wYy2IAdGtYcuqes0GD20AL1WM+HozBemm4HedkulT10WViOEUuaVi&#10;odhttmyzFs0OROi1nGmIZ7CwQjsseoa6EUmQB9BPoKyW4KPv0kJ6y3zXaamKBlRTV/+oue9FUEUL&#10;NieGc5vi/4OVH/d3QHTL6UVd1ZQ4YXFKxx/fjz9/H399I6vcoSHEBhPvwx3Mt4huljt2YPOJQshY&#10;uno4d1WNiUh8rC+X1dWKEomh+uLyzapgssfPAWJ6p7wl2eEUcGill2L/ISYsiKmnlFzLuGydv9XG&#10;TNH8wjLJiVb20rgdZ65b3x5QIy4pgvcevlIy4MA5dbiRlJj3DvuZd+PkwMnZnhzhJH7kdOIVw9uH&#10;hOULt1xsqjBzwEEVyvNS5U34+16yHld/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j70o0QAA&#10;AAMBAAAPAAAAAAAAAAEAIAAAACIAAABkcnMvZG93bnJldi54bWxQSwECFAAUAAAACACHTuJAmxbn&#10;cLMBAABCAwAADgAAAAAAAAABACAAAAAgAQAAZHJzL2Uyb0RvYy54bWxQSwUGAAAAAAYABgBZAQAA&#10;RQUAAAAA&#10;">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137</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86" w:lineRule="auto"/>
      <w:ind w:left="423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center" w:pos="4153"/>
                              <w:tab w:val="right" w:pos="8306"/>
                            </w:tabs>
                          </w:pPr>
                          <w:r>
                            <w:fldChar w:fldCharType="begin"/>
                          </w:r>
                          <w:r>
                            <w:instrText xml:space="preserve"> PAGE  \* MERGEFORMAT </w:instrText>
                          </w:r>
                          <w:r>
                            <w:fldChar w:fldCharType="separate"/>
                          </w:r>
                          <w:r>
                            <w:rPr>
                              <w:lang w:val="zh-CN" w:eastAsia="zh-CN"/>
                            </w:rPr>
                            <w:t>64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20wasBAABNAwAADgAAAGRycy9lMm9Eb2MueG1srVNLbtswEN0XyB0I&#10;7mMpWgSGYDlIECQIEDQF0h6ApkiLAH/gMJZ8geYGXXXTfc/lc3RISc6nuyAban58nPdmtLoYjCY7&#10;EUA529CzRUmJsNy1ym4b+uP7zemSEojMtkw7Kxq6F0Av1idfVr2vReU6p1sRCIJYqHvf0C5GXxcF&#10;8E4YBgvnhcWkdMGwiG7YFm1gPaIbXVRleV70LrQ+OC4AMHo9Juk640speHyQEkQkuqHYW8xnyOcm&#10;ncV6xeptYL5TfGqDfaALw5TFR49Q1ywy8hTUf1BG8eDAybjgzhROSsVF5oBszsp3bB475kXmguKA&#10;P8oEnwfLv+6+BaLahlaUWGZwRIdfz4fffw9/fpIqydN7qLHq0WNdHK7cgGOe44DBxHqQwaQv8iGY&#10;R6H3R3HFEAlPl5bVclliimNudhC/eLnuA8Rb4QxJRkMDTi+Lynb3EMfSuSS9Zt2N0jpPUNs3AcQc&#10;IyKvwHQ7MRk7TlYcNsNEb+PaPbLrcQ0aanFPKdF3FlVOGzMbYTY2k5FeBH/5FLGN3F1CHaGQVXJw&#10;ZpnftF9pKV77uerlL1j/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BN7bTBqwEAAE0DAAAO&#10;AAAAAAAAAAEAIAAAAB4BAABkcnMvZTJvRG9jLnhtbFBLBQYAAAAABgAGAFkBAAA7BQAAAAA=&#10;">
              <v:fill on="f" focussize="0,0"/>
              <v:stroke on="f"/>
              <v:imagedata o:title=""/>
              <o:lock v:ext="edit" aspectratio="f"/>
              <v:textbox inset="0mm,0mm,0mm,0mm" style="mso-fit-shape-to-text:t;">
                <w:txbxContent>
                  <w:p>
                    <w:pPr>
                      <w:tabs>
                        <w:tab w:val="center" w:pos="4153"/>
                        <w:tab w:val="right" w:pos="8306"/>
                      </w:tabs>
                    </w:pPr>
                    <w:r>
                      <w:fldChar w:fldCharType="begin"/>
                    </w:r>
                    <w:r>
                      <w:instrText xml:space="preserve"> PAGE  \* MERGEFORMAT </w:instrText>
                    </w:r>
                    <w:r>
                      <w:fldChar w:fldCharType="separate"/>
                    </w:r>
                    <w:r>
                      <w:rPr>
                        <w:lang w:val="zh-CN" w:eastAsia="zh-CN"/>
                      </w:rPr>
                      <w:t>64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27"/>
        <w:adjustRightInd w:val="0"/>
        <w:spacing w:line="360" w:lineRule="auto"/>
        <w:rPr>
          <w:rFonts w:ascii="宋体" w:hAnsi="宋体" w:cs="宋体"/>
          <w:bCs/>
          <w:snapToGrid w:val="0"/>
          <w:color w:val="000000"/>
          <w:kern w:val="0"/>
          <w:sz w:val="24"/>
          <w:szCs w:val="24"/>
        </w:rPr>
      </w:pPr>
      <w:r>
        <w:rPr>
          <w:rStyle w:val="44"/>
          <w:rFonts w:hint="eastAsia" w:ascii="宋体" w:hAnsi="宋体" w:cs="宋体"/>
          <w:bCs/>
          <w:snapToGrid w:val="0"/>
          <w:color w:val="000000"/>
          <w:kern w:val="0"/>
          <w:sz w:val="24"/>
          <w:szCs w:val="24"/>
        </w:rPr>
        <w:footnoteRef/>
      </w:r>
      <w:r>
        <w:rPr>
          <w:rStyle w:val="44"/>
          <w:rFonts w:hint="eastAsia" w:ascii="宋体" w:hAnsi="宋体" w:cs="宋体"/>
          <w:bCs/>
          <w:snapToGrid w:val="0"/>
          <w:color w:val="000000"/>
          <w:kern w:val="0"/>
          <w:sz w:val="24"/>
          <w:szCs w:val="24"/>
        </w:rPr>
        <w:t xml:space="preserve"> 依据工期定额标准确定合理工期，确保工期与造价适配，不得在招标文件中设置不合理条件或系数，干预或引导投标人缩短工期、以异常低价竞标。</w:t>
      </w:r>
    </w:p>
  </w:footnote>
  <w:footnote w:id="1">
    <w:p>
      <w:pPr>
        <w:pStyle w:val="27"/>
        <w:adjustRightInd w:val="0"/>
        <w:rPr>
          <w:rFonts w:ascii="宋体" w:hAnsi="宋体" w:cs="宋体"/>
          <w:bCs/>
          <w:snapToGrid w:val="0"/>
          <w:color w:val="000000"/>
          <w:kern w:val="0"/>
          <w:sz w:val="24"/>
          <w:szCs w:val="24"/>
        </w:rPr>
      </w:pPr>
      <w:r>
        <w:rPr>
          <w:rStyle w:val="44"/>
          <w:rFonts w:hint="eastAsia" w:ascii="宋体" w:hAnsi="宋体" w:cs="宋体"/>
          <w:bCs/>
          <w:snapToGrid w:val="0"/>
          <w:color w:val="000000"/>
          <w:kern w:val="0"/>
          <w:sz w:val="24"/>
          <w:szCs w:val="24"/>
        </w:rPr>
        <w:footnoteRef/>
      </w:r>
      <w:r>
        <w:rPr>
          <w:rStyle w:val="44"/>
          <w:rFonts w:hint="eastAsia" w:ascii="宋体" w:hAnsi="宋体" w:cs="宋体"/>
          <w:bCs/>
          <w:snapToGrid w:val="0"/>
          <w:color w:val="000000"/>
          <w:kern w:val="0"/>
          <w:sz w:val="24"/>
          <w:szCs w:val="24"/>
        </w:rPr>
        <w:t xml:space="preserve"> 对除特大型或技术特别复杂以外的房屋建筑和市政基础设施工程，不得以企业业绩和奖项作为资格、加分或中标条件。特大型或技术特别复杂</w:t>
      </w:r>
      <w:r>
        <w:rPr>
          <w:rFonts w:hint="eastAsia" w:ascii="宋体" w:hAnsi="宋体" w:cs="宋体"/>
          <w:bCs/>
          <w:snapToGrid w:val="0"/>
          <w:color w:val="000000"/>
          <w:kern w:val="0"/>
          <w:sz w:val="24"/>
          <w:szCs w:val="24"/>
          <w:vertAlign w:val="superscript"/>
        </w:rPr>
        <w:t>的</w:t>
      </w:r>
      <w:r>
        <w:rPr>
          <w:rStyle w:val="44"/>
          <w:rFonts w:hint="eastAsia" w:ascii="宋体" w:hAnsi="宋体" w:cs="宋体"/>
          <w:bCs/>
          <w:snapToGrid w:val="0"/>
          <w:color w:val="000000"/>
          <w:kern w:val="0"/>
          <w:sz w:val="24"/>
          <w:szCs w:val="24"/>
        </w:rPr>
        <w:t>房屋建筑和市政基础设施工程，界定范围由各市、省直管县(市)自行细化确定。</w:t>
      </w:r>
    </w:p>
  </w:footnote>
  <w:footnote w:id="2">
    <w:p>
      <w:pPr>
        <w:pStyle w:val="27"/>
        <w:adjustRightInd w:val="0"/>
        <w:rPr>
          <w:rStyle w:val="44"/>
          <w:rFonts w:ascii="宋体" w:hAnsi="宋体" w:cs="宋体"/>
          <w:bCs/>
          <w:snapToGrid w:val="0"/>
          <w:color w:val="000000"/>
          <w:kern w:val="0"/>
          <w:sz w:val="24"/>
          <w:szCs w:val="24"/>
        </w:rPr>
      </w:pPr>
      <w:r>
        <w:rPr>
          <w:rStyle w:val="44"/>
          <w:rFonts w:hint="eastAsia" w:ascii="宋体" w:hAnsi="宋体" w:cs="宋体"/>
          <w:bCs/>
          <w:snapToGrid w:val="0"/>
          <w:color w:val="000000"/>
          <w:kern w:val="0"/>
          <w:sz w:val="24"/>
          <w:szCs w:val="24"/>
        </w:rPr>
        <w:footnoteRef/>
      </w:r>
      <w:r>
        <w:rPr>
          <w:rStyle w:val="44"/>
          <w:rFonts w:hint="eastAsia" w:ascii="宋体" w:hAnsi="宋体" w:cs="宋体"/>
          <w:bCs/>
          <w:snapToGrid w:val="0"/>
          <w:color w:val="000000"/>
          <w:kern w:val="0"/>
          <w:sz w:val="24"/>
          <w:szCs w:val="24"/>
        </w:rPr>
        <w:t xml:space="preserve"> 鼓励对特大型房屋建筑和市政基础设施工程采用联合体投标方式。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chineseCounting"/>
      <w:suff w:val="space"/>
      <w:lvlText w:val="第%1章"/>
      <w:lvlJc w:val="left"/>
      <w:rPr>
        <w:rFonts w:hint="eastAsia" w:asciiTheme="minorEastAsia" w:hAnsiTheme="minorEastAsia" w:eastAsiaTheme="minorEastAsia"/>
        <w:sz w:val="32"/>
        <w:szCs w:val="32"/>
      </w:rPr>
    </w:lvl>
  </w:abstractNum>
  <w:abstractNum w:abstractNumId="1276824399">
    <w:nsid w:val="4C1ACB4F"/>
    <w:multiLevelType w:val="singleLevel"/>
    <w:tmpl w:val="4C1ACB4F"/>
    <w:lvl w:ilvl="0" w:tentative="1">
      <w:start w:val="1"/>
      <w:numFmt w:val="decimal"/>
      <w:suff w:val="nothing"/>
      <w:lvlText w:val="%1、"/>
      <w:lvlJc w:val="left"/>
    </w:lvl>
  </w:abstractNum>
  <w:abstractNum w:abstractNumId="9">
    <w:nsid w:val="00000009"/>
    <w:multiLevelType w:val="singleLevel"/>
    <w:tmpl w:val="00000009"/>
    <w:lvl w:ilvl="0" w:tentative="1">
      <w:start w:val="1"/>
      <w:numFmt w:val="decimal"/>
      <w:suff w:val="nothing"/>
      <w:lvlText w:val="（%1）"/>
      <w:lvlJc w:val="left"/>
    </w:lvl>
  </w:abstractNum>
  <w:abstractNum w:abstractNumId="14">
    <w:nsid w:val="0000000E"/>
    <w:multiLevelType w:val="multilevel"/>
    <w:tmpl w:val="0000000E"/>
    <w:lvl w:ilvl="0" w:tentative="1">
      <w:start w:val="1"/>
      <w:numFmt w:val="decimal"/>
      <w:pStyle w:val="91"/>
      <w:lvlText w:val="附件%1"/>
      <w:lvlJc w:val="left"/>
      <w:pPr>
        <w:ind w:left="3681" w:hanging="420"/>
      </w:pPr>
      <w:rPr>
        <w:sz w:val="30"/>
        <w:szCs w:val="30"/>
      </w:rPr>
    </w:lvl>
    <w:lvl w:ilvl="1" w:tentative="1">
      <w:start w:val="1"/>
      <w:numFmt w:val="lowerLetter"/>
      <w:lvlText w:val="%2)"/>
      <w:lvlJc w:val="left"/>
      <w:pPr>
        <w:ind w:left="983" w:hanging="420"/>
      </w:pPr>
    </w:lvl>
    <w:lvl w:ilvl="2" w:tentative="1">
      <w:start w:val="1"/>
      <w:numFmt w:val="lowerRoman"/>
      <w:lvlText w:val="%3."/>
      <w:lvlJc w:val="right"/>
      <w:pPr>
        <w:ind w:left="1403" w:hanging="420"/>
      </w:pPr>
    </w:lvl>
    <w:lvl w:ilvl="3" w:tentative="1">
      <w:start w:val="1"/>
      <w:numFmt w:val="decimal"/>
      <w:lvlText w:val="%4."/>
      <w:lvlJc w:val="left"/>
      <w:pPr>
        <w:ind w:left="1823" w:hanging="420"/>
      </w:pPr>
    </w:lvl>
    <w:lvl w:ilvl="4" w:tentative="1">
      <w:start w:val="1"/>
      <w:numFmt w:val="lowerLetter"/>
      <w:lvlText w:val="%5)"/>
      <w:lvlJc w:val="left"/>
      <w:pPr>
        <w:ind w:left="2243" w:hanging="420"/>
      </w:pPr>
    </w:lvl>
    <w:lvl w:ilvl="5" w:tentative="1">
      <w:start w:val="1"/>
      <w:numFmt w:val="lowerRoman"/>
      <w:lvlText w:val="%6."/>
      <w:lvlJc w:val="right"/>
      <w:pPr>
        <w:ind w:left="2663" w:hanging="420"/>
      </w:pPr>
    </w:lvl>
    <w:lvl w:ilvl="6" w:tentative="1">
      <w:start w:val="1"/>
      <w:numFmt w:val="decimal"/>
      <w:lvlText w:val="%7."/>
      <w:lvlJc w:val="left"/>
      <w:pPr>
        <w:ind w:left="3083" w:hanging="420"/>
      </w:pPr>
    </w:lvl>
    <w:lvl w:ilvl="7" w:tentative="1">
      <w:start w:val="1"/>
      <w:numFmt w:val="lowerLetter"/>
      <w:lvlText w:val="%8)"/>
      <w:lvlJc w:val="left"/>
      <w:pPr>
        <w:ind w:left="3503" w:hanging="420"/>
      </w:pPr>
    </w:lvl>
    <w:lvl w:ilvl="8" w:tentative="1">
      <w:start w:val="1"/>
      <w:numFmt w:val="lowerRoman"/>
      <w:lvlText w:val="%9."/>
      <w:lvlJc w:val="right"/>
      <w:pPr>
        <w:ind w:left="3923" w:hanging="420"/>
      </w:pPr>
    </w:lvl>
  </w:abstractNum>
  <w:abstractNum w:abstractNumId="13">
    <w:nsid w:val="0000000D"/>
    <w:multiLevelType w:val="multilevel"/>
    <w:tmpl w:val="0000000D"/>
    <w:lvl w:ilvl="0" w:tentative="1">
      <w:start w:val="1"/>
      <w:numFmt w:val="decimal"/>
      <w:pStyle w:val="85"/>
      <w:lvlText w:val="第%1条"/>
      <w:lvlJc w:val="left"/>
      <w:pPr>
        <w:ind w:left="0" w:firstLine="0"/>
      </w:pPr>
    </w:lvl>
    <w:lvl w:ilvl="1" w:tentative="1">
      <w:start w:val="1"/>
      <w:numFmt w:val="decimal"/>
      <w:lvlText w:val="%1.%2"/>
      <w:lvlJc w:val="left"/>
      <w:pPr>
        <w:ind w:left="0" w:firstLine="0"/>
      </w:pPr>
    </w:lvl>
    <w:lvl w:ilvl="2" w:tentative="1">
      <w:start w:val="1"/>
      <w:numFmt w:val="decimal"/>
      <w:lvlText w:val="%1.%2.%3"/>
      <w:lvlJc w:val="left"/>
      <w:pPr>
        <w:ind w:left="0" w:firstLine="0"/>
      </w:pPr>
      <w:rPr>
        <w:rFonts w:hint="eastAsia" w:ascii="仿宋_GB2312" w:eastAsia="仿宋_GB2312"/>
      </w:rPr>
    </w:lvl>
    <w:lvl w:ilvl="3" w:tentative="1">
      <w:start w:val="1"/>
      <w:numFmt w:val="decimal"/>
      <w:lvlText w:val="%1.%2.%3.%4"/>
      <w:lvlJc w:val="left"/>
      <w:pPr>
        <w:ind w:left="0" w:firstLine="0"/>
      </w:pPr>
    </w:lvl>
    <w:lvl w:ilvl="4" w:tentative="1">
      <w:start w:val="1"/>
      <w:numFmt w:val="decimal"/>
      <w:lvlText w:val="%1.%2.%3.%4.%5"/>
      <w:lvlJc w:val="left"/>
      <w:pPr>
        <w:ind w:left="0" w:firstLine="0"/>
      </w:pPr>
    </w:lvl>
    <w:lvl w:ilvl="5" w:tentative="1">
      <w:start w:val="1"/>
      <w:numFmt w:val="decimal"/>
      <w:lvlText w:val="%1.%2.%3.%4.%5.%6"/>
      <w:lvlJc w:val="left"/>
      <w:pPr>
        <w:ind w:left="0" w:firstLine="0"/>
      </w:pPr>
    </w:lvl>
    <w:lvl w:ilvl="6" w:tentative="1">
      <w:start w:val="1"/>
      <w:numFmt w:val="decimal"/>
      <w:lvlText w:val="%1.%2.%3.%4.%5.%6.%7"/>
      <w:lvlJc w:val="left"/>
      <w:pPr>
        <w:ind w:left="0" w:firstLine="0"/>
      </w:pPr>
    </w:lvl>
    <w:lvl w:ilvl="7" w:tentative="1">
      <w:start w:val="1"/>
      <w:numFmt w:val="decimal"/>
      <w:lvlText w:val="%1.%2.%3.%4.%5.%6.%7.%8"/>
      <w:lvlJc w:val="left"/>
      <w:pPr>
        <w:ind w:left="0" w:firstLine="0"/>
      </w:pPr>
    </w:lvl>
    <w:lvl w:ilvl="8" w:tentative="1">
      <w:start w:val="1"/>
      <w:numFmt w:val="decimal"/>
      <w:lvlText w:val="%1.%2.%3.%4.%5.%6.%7.%8.%9"/>
      <w:lvlJc w:val="left"/>
      <w:pPr>
        <w:ind w:left="0" w:firstLine="0"/>
      </w:pPr>
    </w:lvl>
  </w:abstractNum>
  <w:abstractNum w:abstractNumId="15">
    <w:nsid w:val="0000000F"/>
    <w:multiLevelType w:val="multilevel"/>
    <w:tmpl w:val="0000000F"/>
    <w:lvl w:ilvl="0" w:tentative="1">
      <w:start w:val="1"/>
      <w:numFmt w:val="chineseCountingThousand"/>
      <w:pStyle w:val="83"/>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3842282620">
    <w:nsid w:val="E504947C"/>
    <w:multiLevelType w:val="multilevel"/>
    <w:tmpl w:val="E504947C"/>
    <w:lvl w:ilvl="0" w:tentative="1">
      <w:start w:val="1"/>
      <w:numFmt w:val="decimal"/>
      <w:lvlText w:val="%1"/>
      <w:lvlJc w:val="left"/>
      <w:pPr>
        <w:ind w:left="662" w:hanging="436"/>
        <w:jc w:val="right"/>
      </w:pPr>
      <w:rPr>
        <w:rFonts w:hint="default" w:ascii="黑体" w:hAnsi="黑体" w:eastAsia="黑体" w:cs="黑体"/>
        <w:w w:val="101"/>
        <w:sz w:val="28"/>
        <w:szCs w:val="28"/>
        <w:lang w:val="zh-CN" w:eastAsia="zh-CN" w:bidi="zh-CN"/>
      </w:rPr>
    </w:lvl>
    <w:lvl w:ilvl="1" w:tentative="1">
      <w:start w:val="1"/>
      <w:numFmt w:val="decimal"/>
      <w:lvlText w:val="%1.%2"/>
      <w:lvlJc w:val="left"/>
      <w:pPr>
        <w:ind w:left="962" w:hanging="736"/>
      </w:pPr>
      <w:rPr>
        <w:rFonts w:hint="default" w:ascii="宋体" w:hAnsi="宋体" w:eastAsia="宋体" w:cs="宋体"/>
        <w:b/>
        <w:bCs/>
        <w:spacing w:val="0"/>
        <w:w w:val="100"/>
        <w:sz w:val="28"/>
        <w:szCs w:val="28"/>
        <w:lang w:val="zh-CN" w:eastAsia="zh-CN" w:bidi="zh-CN"/>
      </w:rPr>
    </w:lvl>
    <w:lvl w:ilvl="2" w:tentative="1">
      <w:start w:val="1"/>
      <w:numFmt w:val="decimal"/>
      <w:lvlText w:val="%1.%2.%3"/>
      <w:lvlJc w:val="left"/>
      <w:pPr>
        <w:ind w:left="752" w:hanging="526"/>
      </w:pPr>
      <w:rPr>
        <w:rFonts w:hint="default" w:ascii="Times New Roman" w:hAnsi="Times New Roman" w:eastAsia="Times New Roman" w:cs="Times New Roman"/>
        <w:spacing w:val="-15"/>
        <w:w w:val="100"/>
        <w:sz w:val="21"/>
        <w:szCs w:val="21"/>
        <w:lang w:val="zh-CN" w:eastAsia="zh-CN" w:bidi="zh-CN"/>
      </w:rPr>
    </w:lvl>
    <w:lvl w:ilvl="3" w:tentative="1">
      <w:start w:val="0"/>
      <w:numFmt w:val="bullet"/>
      <w:lvlText w:val="•"/>
      <w:lvlJc w:val="left"/>
      <w:pPr>
        <w:ind w:left="900" w:hanging="526"/>
      </w:pPr>
      <w:rPr>
        <w:rFonts w:hint="default"/>
        <w:lang w:val="zh-CN" w:eastAsia="zh-CN" w:bidi="zh-CN"/>
      </w:rPr>
    </w:lvl>
    <w:lvl w:ilvl="4" w:tentative="1">
      <w:start w:val="0"/>
      <w:numFmt w:val="bullet"/>
      <w:lvlText w:val="•"/>
      <w:lvlJc w:val="left"/>
      <w:pPr>
        <w:ind w:left="920" w:hanging="526"/>
      </w:pPr>
      <w:rPr>
        <w:rFonts w:hint="default"/>
        <w:lang w:val="zh-CN" w:eastAsia="zh-CN" w:bidi="zh-CN"/>
      </w:rPr>
    </w:lvl>
    <w:lvl w:ilvl="5" w:tentative="1">
      <w:start w:val="0"/>
      <w:numFmt w:val="bullet"/>
      <w:lvlText w:val="•"/>
      <w:lvlJc w:val="left"/>
      <w:pPr>
        <w:ind w:left="960" w:hanging="526"/>
      </w:pPr>
      <w:rPr>
        <w:rFonts w:hint="default"/>
        <w:lang w:val="zh-CN" w:eastAsia="zh-CN" w:bidi="zh-CN"/>
      </w:rPr>
    </w:lvl>
    <w:lvl w:ilvl="6" w:tentative="1">
      <w:start w:val="0"/>
      <w:numFmt w:val="bullet"/>
      <w:lvlText w:val="•"/>
      <w:lvlJc w:val="left"/>
      <w:pPr>
        <w:ind w:left="1100" w:hanging="526"/>
      </w:pPr>
      <w:rPr>
        <w:rFonts w:hint="default"/>
        <w:lang w:val="zh-CN" w:eastAsia="zh-CN" w:bidi="zh-CN"/>
      </w:rPr>
    </w:lvl>
    <w:lvl w:ilvl="7" w:tentative="1">
      <w:start w:val="0"/>
      <w:numFmt w:val="bullet"/>
      <w:lvlText w:val="•"/>
      <w:lvlJc w:val="left"/>
      <w:pPr>
        <w:ind w:left="1140" w:hanging="526"/>
      </w:pPr>
      <w:rPr>
        <w:rFonts w:hint="default"/>
        <w:lang w:val="zh-CN" w:eastAsia="zh-CN" w:bidi="zh-CN"/>
      </w:rPr>
    </w:lvl>
    <w:lvl w:ilvl="8" w:tentative="1">
      <w:start w:val="0"/>
      <w:numFmt w:val="bullet"/>
      <w:lvlText w:val="•"/>
      <w:lvlJc w:val="left"/>
      <w:pPr>
        <w:ind w:left="4096" w:hanging="526"/>
      </w:pPr>
      <w:rPr>
        <w:rFonts w:hint="default"/>
        <w:lang w:val="zh-CN" w:eastAsia="zh-CN" w:bidi="zh-CN"/>
      </w:rPr>
    </w:lvl>
  </w:abstractNum>
  <w:abstractNum w:abstractNumId="3303068234">
    <w:nsid w:val="C4E0D24A"/>
    <w:multiLevelType w:val="multilevel"/>
    <w:tmpl w:val="C4E0D24A"/>
    <w:lvl w:ilvl="0" w:tentative="1">
      <w:start w:val="4"/>
      <w:numFmt w:val="decimal"/>
      <w:lvlText w:val="%1"/>
      <w:lvlJc w:val="left"/>
      <w:pPr>
        <w:ind w:left="962" w:hanging="736"/>
      </w:pPr>
      <w:rPr>
        <w:rFonts w:hint="default"/>
        <w:lang w:val="zh-CN" w:eastAsia="zh-CN" w:bidi="zh-CN"/>
      </w:rPr>
    </w:lvl>
    <w:lvl w:ilvl="1" w:tentative="1">
      <w:start w:val="1"/>
      <w:numFmt w:val="decimal"/>
      <w:lvlText w:val="%1.%2"/>
      <w:lvlJc w:val="left"/>
      <w:pPr>
        <w:ind w:left="962" w:hanging="736"/>
      </w:pPr>
      <w:rPr>
        <w:rFonts w:hint="default" w:ascii="宋体" w:hAnsi="宋体" w:eastAsia="宋体" w:cs="宋体"/>
        <w:b/>
        <w:bCs/>
        <w:spacing w:val="0"/>
        <w:w w:val="100"/>
        <w:sz w:val="28"/>
        <w:szCs w:val="28"/>
        <w:lang w:val="zh-CN" w:eastAsia="zh-CN" w:bidi="zh-CN"/>
      </w:rPr>
    </w:lvl>
    <w:lvl w:ilvl="2" w:tentative="1">
      <w:start w:val="1"/>
      <w:numFmt w:val="decimal"/>
      <w:lvlText w:val="%1.%2.%3"/>
      <w:lvlJc w:val="left"/>
      <w:pPr>
        <w:ind w:left="872" w:hanging="646"/>
      </w:pPr>
      <w:rPr>
        <w:rFonts w:hint="default" w:ascii="Times New Roman" w:hAnsi="Times New Roman" w:eastAsia="Times New Roman" w:cs="Times New Roman"/>
        <w:w w:val="100"/>
        <w:sz w:val="21"/>
        <w:szCs w:val="21"/>
        <w:lang w:val="zh-CN" w:eastAsia="zh-CN" w:bidi="zh-CN"/>
      </w:rPr>
    </w:lvl>
    <w:lvl w:ilvl="3" w:tentative="1">
      <w:start w:val="0"/>
      <w:numFmt w:val="bullet"/>
      <w:lvlText w:val="•"/>
      <w:lvlJc w:val="left"/>
      <w:pPr>
        <w:ind w:left="2971" w:hanging="646"/>
      </w:pPr>
      <w:rPr>
        <w:rFonts w:hint="default"/>
        <w:lang w:val="zh-CN" w:eastAsia="zh-CN" w:bidi="zh-CN"/>
      </w:rPr>
    </w:lvl>
    <w:lvl w:ilvl="4" w:tentative="1">
      <w:start w:val="0"/>
      <w:numFmt w:val="bullet"/>
      <w:lvlText w:val="•"/>
      <w:lvlJc w:val="left"/>
      <w:pPr>
        <w:ind w:left="3976" w:hanging="646"/>
      </w:pPr>
      <w:rPr>
        <w:rFonts w:hint="default"/>
        <w:lang w:val="zh-CN" w:eastAsia="zh-CN" w:bidi="zh-CN"/>
      </w:rPr>
    </w:lvl>
    <w:lvl w:ilvl="5" w:tentative="1">
      <w:start w:val="0"/>
      <w:numFmt w:val="bullet"/>
      <w:lvlText w:val="•"/>
      <w:lvlJc w:val="left"/>
      <w:pPr>
        <w:ind w:left="4982" w:hanging="646"/>
      </w:pPr>
      <w:rPr>
        <w:rFonts w:hint="default"/>
        <w:lang w:val="zh-CN" w:eastAsia="zh-CN" w:bidi="zh-CN"/>
      </w:rPr>
    </w:lvl>
    <w:lvl w:ilvl="6" w:tentative="1">
      <w:start w:val="0"/>
      <w:numFmt w:val="bullet"/>
      <w:lvlText w:val="•"/>
      <w:lvlJc w:val="left"/>
      <w:pPr>
        <w:ind w:left="5987" w:hanging="646"/>
      </w:pPr>
      <w:rPr>
        <w:rFonts w:hint="default"/>
        <w:lang w:val="zh-CN" w:eastAsia="zh-CN" w:bidi="zh-CN"/>
      </w:rPr>
    </w:lvl>
    <w:lvl w:ilvl="7" w:tentative="1">
      <w:start w:val="0"/>
      <w:numFmt w:val="bullet"/>
      <w:lvlText w:val="•"/>
      <w:lvlJc w:val="left"/>
      <w:pPr>
        <w:ind w:left="6993" w:hanging="646"/>
      </w:pPr>
      <w:rPr>
        <w:rFonts w:hint="default"/>
        <w:lang w:val="zh-CN" w:eastAsia="zh-CN" w:bidi="zh-CN"/>
      </w:rPr>
    </w:lvl>
    <w:lvl w:ilvl="8" w:tentative="1">
      <w:start w:val="0"/>
      <w:numFmt w:val="bullet"/>
      <w:lvlText w:val="•"/>
      <w:lvlJc w:val="left"/>
      <w:pPr>
        <w:ind w:left="7998" w:hanging="646"/>
      </w:pPr>
      <w:rPr>
        <w:rFonts w:hint="default"/>
        <w:lang w:val="zh-CN" w:eastAsia="zh-CN" w:bidi="zh-CN"/>
      </w:rPr>
    </w:lvl>
  </w:abstractNum>
  <w:abstractNum w:abstractNumId="2697540946">
    <w:nsid w:val="A0C93552"/>
    <w:multiLevelType w:val="multilevel"/>
    <w:tmpl w:val="A0C93552"/>
    <w:lvl w:ilvl="0" w:tentative="1">
      <w:start w:val="1"/>
      <w:numFmt w:val="decimal"/>
      <w:lvlText w:val="%1）"/>
      <w:lvlJc w:val="left"/>
      <w:pPr>
        <w:ind w:left="963" w:hanging="316"/>
      </w:pPr>
      <w:rPr>
        <w:rFonts w:hint="default"/>
        <w:spacing w:val="-1"/>
        <w:sz w:val="19"/>
        <w:szCs w:val="19"/>
        <w:u w:val="single" w:color="000000"/>
        <w:lang w:val="zh-CN" w:eastAsia="zh-CN" w:bidi="zh-CN"/>
      </w:rPr>
    </w:lvl>
    <w:lvl w:ilvl="1" w:tentative="1">
      <w:start w:val="0"/>
      <w:numFmt w:val="bullet"/>
      <w:lvlText w:val="•"/>
      <w:lvlJc w:val="left"/>
      <w:pPr>
        <w:ind w:left="1865" w:hanging="316"/>
      </w:pPr>
      <w:rPr>
        <w:rFonts w:hint="default"/>
        <w:lang w:val="zh-CN" w:eastAsia="zh-CN" w:bidi="zh-CN"/>
      </w:rPr>
    </w:lvl>
    <w:lvl w:ilvl="2" w:tentative="1">
      <w:start w:val="0"/>
      <w:numFmt w:val="bullet"/>
      <w:lvlText w:val="•"/>
      <w:lvlJc w:val="left"/>
      <w:pPr>
        <w:ind w:left="2770" w:hanging="316"/>
      </w:pPr>
      <w:rPr>
        <w:rFonts w:hint="default"/>
        <w:lang w:val="zh-CN" w:eastAsia="zh-CN" w:bidi="zh-CN"/>
      </w:rPr>
    </w:lvl>
    <w:lvl w:ilvl="3" w:tentative="1">
      <w:start w:val="0"/>
      <w:numFmt w:val="bullet"/>
      <w:lvlText w:val="•"/>
      <w:lvlJc w:val="left"/>
      <w:pPr>
        <w:ind w:left="3675" w:hanging="316"/>
      </w:pPr>
      <w:rPr>
        <w:rFonts w:hint="default"/>
        <w:lang w:val="zh-CN" w:eastAsia="zh-CN" w:bidi="zh-CN"/>
      </w:rPr>
    </w:lvl>
    <w:lvl w:ilvl="4" w:tentative="1">
      <w:start w:val="0"/>
      <w:numFmt w:val="bullet"/>
      <w:lvlText w:val="•"/>
      <w:lvlJc w:val="left"/>
      <w:pPr>
        <w:ind w:left="4580" w:hanging="316"/>
      </w:pPr>
      <w:rPr>
        <w:rFonts w:hint="default"/>
        <w:lang w:val="zh-CN" w:eastAsia="zh-CN" w:bidi="zh-CN"/>
      </w:rPr>
    </w:lvl>
    <w:lvl w:ilvl="5" w:tentative="1">
      <w:start w:val="0"/>
      <w:numFmt w:val="bullet"/>
      <w:lvlText w:val="•"/>
      <w:lvlJc w:val="left"/>
      <w:pPr>
        <w:ind w:left="5485" w:hanging="316"/>
      </w:pPr>
      <w:rPr>
        <w:rFonts w:hint="default"/>
        <w:lang w:val="zh-CN" w:eastAsia="zh-CN" w:bidi="zh-CN"/>
      </w:rPr>
    </w:lvl>
    <w:lvl w:ilvl="6" w:tentative="1">
      <w:start w:val="0"/>
      <w:numFmt w:val="bullet"/>
      <w:lvlText w:val="•"/>
      <w:lvlJc w:val="left"/>
      <w:pPr>
        <w:ind w:left="6390" w:hanging="316"/>
      </w:pPr>
      <w:rPr>
        <w:rFonts w:hint="default"/>
        <w:lang w:val="zh-CN" w:eastAsia="zh-CN" w:bidi="zh-CN"/>
      </w:rPr>
    </w:lvl>
    <w:lvl w:ilvl="7" w:tentative="1">
      <w:start w:val="0"/>
      <w:numFmt w:val="bullet"/>
      <w:lvlText w:val="•"/>
      <w:lvlJc w:val="left"/>
      <w:pPr>
        <w:ind w:left="7295" w:hanging="316"/>
      </w:pPr>
      <w:rPr>
        <w:rFonts w:hint="default"/>
        <w:lang w:val="zh-CN" w:eastAsia="zh-CN" w:bidi="zh-CN"/>
      </w:rPr>
    </w:lvl>
    <w:lvl w:ilvl="8" w:tentative="1">
      <w:start w:val="0"/>
      <w:numFmt w:val="bullet"/>
      <w:lvlText w:val="•"/>
      <w:lvlJc w:val="left"/>
      <w:pPr>
        <w:ind w:left="8200" w:hanging="316"/>
      </w:pPr>
      <w:rPr>
        <w:rFonts w:hint="default"/>
        <w:lang w:val="zh-CN" w:eastAsia="zh-CN" w:bidi="zh-CN"/>
      </w:rPr>
    </w:lvl>
  </w:abstractNum>
  <w:abstractNum w:abstractNumId="2002989590">
    <w:nsid w:val="77633216"/>
    <w:multiLevelType w:val="multilevel"/>
    <w:tmpl w:val="77633216"/>
    <w:lvl w:ilvl="0" w:tentative="1">
      <w:start w:val="1"/>
      <w:numFmt w:val="decimal"/>
      <w:lvlText w:val="%1."/>
      <w:lvlJc w:val="left"/>
      <w:pPr>
        <w:ind w:left="1068" w:hanging="421"/>
      </w:pPr>
      <w:rPr>
        <w:rFonts w:hint="default"/>
        <w:u w:val="single" w:color="000000"/>
        <w:lang w:val="zh-CN" w:eastAsia="zh-CN" w:bidi="zh-CN"/>
      </w:rPr>
    </w:lvl>
    <w:lvl w:ilvl="1" w:tentative="1">
      <w:start w:val="0"/>
      <w:numFmt w:val="bullet"/>
      <w:lvlText w:val="•"/>
      <w:lvlJc w:val="left"/>
      <w:pPr>
        <w:ind w:left="1955" w:hanging="421"/>
      </w:pPr>
      <w:rPr>
        <w:rFonts w:hint="default"/>
        <w:lang w:val="zh-CN" w:eastAsia="zh-CN" w:bidi="zh-CN"/>
      </w:rPr>
    </w:lvl>
    <w:lvl w:ilvl="2" w:tentative="1">
      <w:start w:val="0"/>
      <w:numFmt w:val="bullet"/>
      <w:lvlText w:val="•"/>
      <w:lvlJc w:val="left"/>
      <w:pPr>
        <w:ind w:left="2850" w:hanging="421"/>
      </w:pPr>
      <w:rPr>
        <w:rFonts w:hint="default"/>
        <w:lang w:val="zh-CN" w:eastAsia="zh-CN" w:bidi="zh-CN"/>
      </w:rPr>
    </w:lvl>
    <w:lvl w:ilvl="3" w:tentative="1">
      <w:start w:val="0"/>
      <w:numFmt w:val="bullet"/>
      <w:lvlText w:val="•"/>
      <w:lvlJc w:val="left"/>
      <w:pPr>
        <w:ind w:left="3745" w:hanging="421"/>
      </w:pPr>
      <w:rPr>
        <w:rFonts w:hint="default"/>
        <w:lang w:val="zh-CN" w:eastAsia="zh-CN" w:bidi="zh-CN"/>
      </w:rPr>
    </w:lvl>
    <w:lvl w:ilvl="4" w:tentative="1">
      <w:start w:val="0"/>
      <w:numFmt w:val="bullet"/>
      <w:lvlText w:val="•"/>
      <w:lvlJc w:val="left"/>
      <w:pPr>
        <w:ind w:left="4640" w:hanging="421"/>
      </w:pPr>
      <w:rPr>
        <w:rFonts w:hint="default"/>
        <w:lang w:val="zh-CN" w:eastAsia="zh-CN" w:bidi="zh-CN"/>
      </w:rPr>
    </w:lvl>
    <w:lvl w:ilvl="5" w:tentative="1">
      <w:start w:val="0"/>
      <w:numFmt w:val="bullet"/>
      <w:lvlText w:val="•"/>
      <w:lvlJc w:val="left"/>
      <w:pPr>
        <w:ind w:left="5535" w:hanging="421"/>
      </w:pPr>
      <w:rPr>
        <w:rFonts w:hint="default"/>
        <w:lang w:val="zh-CN" w:eastAsia="zh-CN" w:bidi="zh-CN"/>
      </w:rPr>
    </w:lvl>
    <w:lvl w:ilvl="6" w:tentative="1">
      <w:start w:val="0"/>
      <w:numFmt w:val="bullet"/>
      <w:lvlText w:val="•"/>
      <w:lvlJc w:val="left"/>
      <w:pPr>
        <w:ind w:left="6430" w:hanging="421"/>
      </w:pPr>
      <w:rPr>
        <w:rFonts w:hint="default"/>
        <w:lang w:val="zh-CN" w:eastAsia="zh-CN" w:bidi="zh-CN"/>
      </w:rPr>
    </w:lvl>
    <w:lvl w:ilvl="7" w:tentative="1">
      <w:start w:val="0"/>
      <w:numFmt w:val="bullet"/>
      <w:lvlText w:val="•"/>
      <w:lvlJc w:val="left"/>
      <w:pPr>
        <w:ind w:left="7325" w:hanging="421"/>
      </w:pPr>
      <w:rPr>
        <w:rFonts w:hint="default"/>
        <w:lang w:val="zh-CN" w:eastAsia="zh-CN" w:bidi="zh-CN"/>
      </w:rPr>
    </w:lvl>
    <w:lvl w:ilvl="8" w:tentative="1">
      <w:start w:val="0"/>
      <w:numFmt w:val="bullet"/>
      <w:lvlText w:val="•"/>
      <w:lvlJc w:val="left"/>
      <w:pPr>
        <w:ind w:left="8220" w:hanging="421"/>
      </w:pPr>
      <w:rPr>
        <w:rFonts w:hint="default"/>
        <w:lang w:val="zh-CN" w:eastAsia="zh-CN" w:bidi="zh-CN"/>
      </w:rPr>
    </w:lvl>
  </w:abstractNum>
  <w:abstractNum w:abstractNumId="3671304276">
    <w:nsid w:val="DAD3A854"/>
    <w:multiLevelType w:val="multilevel"/>
    <w:tmpl w:val="DAD3A854"/>
    <w:lvl w:ilvl="0" w:tentative="1">
      <w:start w:val="2"/>
      <w:numFmt w:val="decimal"/>
      <w:lvlText w:val="%1）"/>
      <w:lvlJc w:val="left"/>
      <w:pPr>
        <w:ind w:left="963" w:hanging="316"/>
      </w:pPr>
      <w:rPr>
        <w:rFonts w:hint="default"/>
        <w:spacing w:val="-45"/>
        <w:sz w:val="19"/>
        <w:szCs w:val="19"/>
        <w:u w:val="single" w:color="000000"/>
        <w:lang w:val="zh-CN" w:eastAsia="zh-CN" w:bidi="zh-CN"/>
      </w:rPr>
    </w:lvl>
    <w:lvl w:ilvl="1" w:tentative="1">
      <w:start w:val="0"/>
      <w:numFmt w:val="bullet"/>
      <w:lvlText w:val="•"/>
      <w:lvlJc w:val="left"/>
      <w:pPr>
        <w:ind w:left="1865" w:hanging="316"/>
      </w:pPr>
      <w:rPr>
        <w:rFonts w:hint="default"/>
        <w:lang w:val="zh-CN" w:eastAsia="zh-CN" w:bidi="zh-CN"/>
      </w:rPr>
    </w:lvl>
    <w:lvl w:ilvl="2" w:tentative="1">
      <w:start w:val="0"/>
      <w:numFmt w:val="bullet"/>
      <w:lvlText w:val="•"/>
      <w:lvlJc w:val="left"/>
      <w:pPr>
        <w:ind w:left="2770" w:hanging="316"/>
      </w:pPr>
      <w:rPr>
        <w:rFonts w:hint="default"/>
        <w:lang w:val="zh-CN" w:eastAsia="zh-CN" w:bidi="zh-CN"/>
      </w:rPr>
    </w:lvl>
    <w:lvl w:ilvl="3" w:tentative="1">
      <w:start w:val="0"/>
      <w:numFmt w:val="bullet"/>
      <w:lvlText w:val="•"/>
      <w:lvlJc w:val="left"/>
      <w:pPr>
        <w:ind w:left="3675" w:hanging="316"/>
      </w:pPr>
      <w:rPr>
        <w:rFonts w:hint="default"/>
        <w:lang w:val="zh-CN" w:eastAsia="zh-CN" w:bidi="zh-CN"/>
      </w:rPr>
    </w:lvl>
    <w:lvl w:ilvl="4" w:tentative="1">
      <w:start w:val="0"/>
      <w:numFmt w:val="bullet"/>
      <w:lvlText w:val="•"/>
      <w:lvlJc w:val="left"/>
      <w:pPr>
        <w:ind w:left="4580" w:hanging="316"/>
      </w:pPr>
      <w:rPr>
        <w:rFonts w:hint="default"/>
        <w:lang w:val="zh-CN" w:eastAsia="zh-CN" w:bidi="zh-CN"/>
      </w:rPr>
    </w:lvl>
    <w:lvl w:ilvl="5" w:tentative="1">
      <w:start w:val="0"/>
      <w:numFmt w:val="bullet"/>
      <w:lvlText w:val="•"/>
      <w:lvlJc w:val="left"/>
      <w:pPr>
        <w:ind w:left="5485" w:hanging="316"/>
      </w:pPr>
      <w:rPr>
        <w:rFonts w:hint="default"/>
        <w:lang w:val="zh-CN" w:eastAsia="zh-CN" w:bidi="zh-CN"/>
      </w:rPr>
    </w:lvl>
    <w:lvl w:ilvl="6" w:tentative="1">
      <w:start w:val="0"/>
      <w:numFmt w:val="bullet"/>
      <w:lvlText w:val="•"/>
      <w:lvlJc w:val="left"/>
      <w:pPr>
        <w:ind w:left="6390" w:hanging="316"/>
      </w:pPr>
      <w:rPr>
        <w:rFonts w:hint="default"/>
        <w:lang w:val="zh-CN" w:eastAsia="zh-CN" w:bidi="zh-CN"/>
      </w:rPr>
    </w:lvl>
    <w:lvl w:ilvl="7" w:tentative="1">
      <w:start w:val="0"/>
      <w:numFmt w:val="bullet"/>
      <w:lvlText w:val="•"/>
      <w:lvlJc w:val="left"/>
      <w:pPr>
        <w:ind w:left="7295" w:hanging="316"/>
      </w:pPr>
      <w:rPr>
        <w:rFonts w:hint="default"/>
        <w:lang w:val="zh-CN" w:eastAsia="zh-CN" w:bidi="zh-CN"/>
      </w:rPr>
    </w:lvl>
    <w:lvl w:ilvl="8" w:tentative="1">
      <w:start w:val="0"/>
      <w:numFmt w:val="bullet"/>
      <w:lvlText w:val="•"/>
      <w:lvlJc w:val="left"/>
      <w:pPr>
        <w:ind w:left="8200" w:hanging="316"/>
      </w:pPr>
      <w:rPr>
        <w:rFonts w:hint="default"/>
        <w:lang w:val="zh-CN" w:eastAsia="zh-CN" w:bidi="zh-CN"/>
      </w:rPr>
    </w:lvl>
  </w:abstractNum>
  <w:abstractNum w:abstractNumId="3096256936">
    <w:nsid w:val="B88D21A8"/>
    <w:multiLevelType w:val="multilevel"/>
    <w:tmpl w:val="B88D21A8"/>
    <w:lvl w:ilvl="0" w:tentative="1">
      <w:start w:val="11"/>
      <w:numFmt w:val="decimal"/>
      <w:lvlText w:val="%1)"/>
      <w:lvlJc w:val="left"/>
      <w:pPr>
        <w:ind w:left="963" w:hanging="316"/>
      </w:pPr>
      <w:rPr>
        <w:rFonts w:hint="default"/>
        <w:spacing w:val="-1"/>
        <w:sz w:val="19"/>
        <w:szCs w:val="19"/>
        <w:u w:val="single" w:color="000000"/>
        <w:lang w:val="zh-CN" w:eastAsia="zh-CN" w:bidi="zh-CN"/>
      </w:rPr>
    </w:lvl>
    <w:lvl w:ilvl="1" w:tentative="1">
      <w:start w:val="0"/>
      <w:numFmt w:val="bullet"/>
      <w:lvlText w:val="•"/>
      <w:lvlJc w:val="left"/>
      <w:pPr>
        <w:ind w:left="1865" w:hanging="316"/>
      </w:pPr>
      <w:rPr>
        <w:rFonts w:hint="default"/>
        <w:lang w:val="zh-CN" w:eastAsia="zh-CN" w:bidi="zh-CN"/>
      </w:rPr>
    </w:lvl>
    <w:lvl w:ilvl="2" w:tentative="1">
      <w:start w:val="0"/>
      <w:numFmt w:val="bullet"/>
      <w:lvlText w:val="•"/>
      <w:lvlJc w:val="left"/>
      <w:pPr>
        <w:ind w:left="2770" w:hanging="316"/>
      </w:pPr>
      <w:rPr>
        <w:rFonts w:hint="default"/>
        <w:lang w:val="zh-CN" w:eastAsia="zh-CN" w:bidi="zh-CN"/>
      </w:rPr>
    </w:lvl>
    <w:lvl w:ilvl="3" w:tentative="1">
      <w:start w:val="0"/>
      <w:numFmt w:val="bullet"/>
      <w:lvlText w:val="•"/>
      <w:lvlJc w:val="left"/>
      <w:pPr>
        <w:ind w:left="3675" w:hanging="316"/>
      </w:pPr>
      <w:rPr>
        <w:rFonts w:hint="default"/>
        <w:lang w:val="zh-CN" w:eastAsia="zh-CN" w:bidi="zh-CN"/>
      </w:rPr>
    </w:lvl>
    <w:lvl w:ilvl="4" w:tentative="1">
      <w:start w:val="0"/>
      <w:numFmt w:val="bullet"/>
      <w:lvlText w:val="•"/>
      <w:lvlJc w:val="left"/>
      <w:pPr>
        <w:ind w:left="4580" w:hanging="316"/>
      </w:pPr>
      <w:rPr>
        <w:rFonts w:hint="default"/>
        <w:lang w:val="zh-CN" w:eastAsia="zh-CN" w:bidi="zh-CN"/>
      </w:rPr>
    </w:lvl>
    <w:lvl w:ilvl="5" w:tentative="1">
      <w:start w:val="0"/>
      <w:numFmt w:val="bullet"/>
      <w:lvlText w:val="•"/>
      <w:lvlJc w:val="left"/>
      <w:pPr>
        <w:ind w:left="5485" w:hanging="316"/>
      </w:pPr>
      <w:rPr>
        <w:rFonts w:hint="default"/>
        <w:lang w:val="zh-CN" w:eastAsia="zh-CN" w:bidi="zh-CN"/>
      </w:rPr>
    </w:lvl>
    <w:lvl w:ilvl="6" w:tentative="1">
      <w:start w:val="0"/>
      <w:numFmt w:val="bullet"/>
      <w:lvlText w:val="•"/>
      <w:lvlJc w:val="left"/>
      <w:pPr>
        <w:ind w:left="6390" w:hanging="316"/>
      </w:pPr>
      <w:rPr>
        <w:rFonts w:hint="default"/>
        <w:lang w:val="zh-CN" w:eastAsia="zh-CN" w:bidi="zh-CN"/>
      </w:rPr>
    </w:lvl>
    <w:lvl w:ilvl="7" w:tentative="1">
      <w:start w:val="0"/>
      <w:numFmt w:val="bullet"/>
      <w:lvlText w:val="•"/>
      <w:lvlJc w:val="left"/>
      <w:pPr>
        <w:ind w:left="7295" w:hanging="316"/>
      </w:pPr>
      <w:rPr>
        <w:rFonts w:hint="default"/>
        <w:lang w:val="zh-CN" w:eastAsia="zh-CN" w:bidi="zh-CN"/>
      </w:rPr>
    </w:lvl>
    <w:lvl w:ilvl="8" w:tentative="1">
      <w:start w:val="0"/>
      <w:numFmt w:val="bullet"/>
      <w:lvlText w:val="•"/>
      <w:lvlJc w:val="left"/>
      <w:pPr>
        <w:ind w:left="8200" w:hanging="316"/>
      </w:pPr>
      <w:rPr>
        <w:rFonts w:hint="default"/>
        <w:lang w:val="zh-CN" w:eastAsia="zh-CN" w:bidi="zh-CN"/>
      </w:rPr>
    </w:lvl>
  </w:abstractNum>
  <w:abstractNum w:abstractNumId="791509454">
    <w:nsid w:val="2F2D79CE"/>
    <w:multiLevelType w:val="multilevel"/>
    <w:tmpl w:val="2F2D79CE"/>
    <w:lvl w:ilvl="0" w:tentative="1">
      <w:start w:val="1"/>
      <w:numFmt w:val="decimal"/>
      <w:lvlText w:val="（%1）"/>
      <w:lvlJc w:val="left"/>
      <w:pPr>
        <w:ind w:left="1219" w:hanging="527"/>
      </w:pPr>
      <w:rPr>
        <w:rFonts w:hint="default" w:ascii="宋体" w:hAnsi="宋体" w:eastAsia="宋体" w:cs="宋体"/>
        <w:spacing w:val="-1"/>
        <w:w w:val="100"/>
        <w:sz w:val="19"/>
        <w:szCs w:val="19"/>
        <w:lang w:val="zh-CN" w:eastAsia="zh-CN" w:bidi="zh-CN"/>
      </w:rPr>
    </w:lvl>
    <w:lvl w:ilvl="1" w:tentative="1">
      <w:start w:val="0"/>
      <w:numFmt w:val="bullet"/>
      <w:lvlText w:val="•"/>
      <w:lvlJc w:val="left"/>
      <w:pPr>
        <w:ind w:left="2099" w:hanging="527"/>
      </w:pPr>
      <w:rPr>
        <w:rFonts w:hint="default"/>
        <w:lang w:val="zh-CN" w:eastAsia="zh-CN" w:bidi="zh-CN"/>
      </w:rPr>
    </w:lvl>
    <w:lvl w:ilvl="2" w:tentative="1">
      <w:start w:val="0"/>
      <w:numFmt w:val="bullet"/>
      <w:lvlText w:val="•"/>
      <w:lvlJc w:val="left"/>
      <w:pPr>
        <w:ind w:left="2978" w:hanging="527"/>
      </w:pPr>
      <w:rPr>
        <w:rFonts w:hint="default"/>
        <w:lang w:val="zh-CN" w:eastAsia="zh-CN" w:bidi="zh-CN"/>
      </w:rPr>
    </w:lvl>
    <w:lvl w:ilvl="3" w:tentative="1">
      <w:start w:val="0"/>
      <w:numFmt w:val="bullet"/>
      <w:lvlText w:val="•"/>
      <w:lvlJc w:val="left"/>
      <w:pPr>
        <w:ind w:left="3857" w:hanging="527"/>
      </w:pPr>
      <w:rPr>
        <w:rFonts w:hint="default"/>
        <w:lang w:val="zh-CN" w:eastAsia="zh-CN" w:bidi="zh-CN"/>
      </w:rPr>
    </w:lvl>
    <w:lvl w:ilvl="4" w:tentative="1">
      <w:start w:val="0"/>
      <w:numFmt w:val="bullet"/>
      <w:lvlText w:val="•"/>
      <w:lvlJc w:val="left"/>
      <w:pPr>
        <w:ind w:left="4736" w:hanging="527"/>
      </w:pPr>
      <w:rPr>
        <w:rFonts w:hint="default"/>
        <w:lang w:val="zh-CN" w:eastAsia="zh-CN" w:bidi="zh-CN"/>
      </w:rPr>
    </w:lvl>
    <w:lvl w:ilvl="5" w:tentative="1">
      <w:start w:val="0"/>
      <w:numFmt w:val="bullet"/>
      <w:lvlText w:val="•"/>
      <w:lvlJc w:val="left"/>
      <w:pPr>
        <w:ind w:left="5615" w:hanging="527"/>
      </w:pPr>
      <w:rPr>
        <w:rFonts w:hint="default"/>
        <w:lang w:val="zh-CN" w:eastAsia="zh-CN" w:bidi="zh-CN"/>
      </w:rPr>
    </w:lvl>
    <w:lvl w:ilvl="6" w:tentative="1">
      <w:start w:val="0"/>
      <w:numFmt w:val="bullet"/>
      <w:lvlText w:val="•"/>
      <w:lvlJc w:val="left"/>
      <w:pPr>
        <w:ind w:left="6494" w:hanging="527"/>
      </w:pPr>
      <w:rPr>
        <w:rFonts w:hint="default"/>
        <w:lang w:val="zh-CN" w:eastAsia="zh-CN" w:bidi="zh-CN"/>
      </w:rPr>
    </w:lvl>
    <w:lvl w:ilvl="7" w:tentative="1">
      <w:start w:val="0"/>
      <w:numFmt w:val="bullet"/>
      <w:lvlText w:val="•"/>
      <w:lvlJc w:val="left"/>
      <w:pPr>
        <w:ind w:left="7373" w:hanging="527"/>
      </w:pPr>
      <w:rPr>
        <w:rFonts w:hint="default"/>
        <w:lang w:val="zh-CN" w:eastAsia="zh-CN" w:bidi="zh-CN"/>
      </w:rPr>
    </w:lvl>
    <w:lvl w:ilvl="8" w:tentative="1">
      <w:start w:val="0"/>
      <w:numFmt w:val="bullet"/>
      <w:lvlText w:val="•"/>
      <w:lvlJc w:val="left"/>
      <w:pPr>
        <w:ind w:left="8252" w:hanging="527"/>
      </w:pPr>
      <w:rPr>
        <w:rFonts w:hint="default"/>
        <w:lang w:val="zh-CN" w:eastAsia="zh-CN" w:bidi="zh-CN"/>
      </w:rPr>
    </w:lvl>
  </w:abstractNum>
  <w:abstractNum w:abstractNumId="3887234139">
    <w:nsid w:val="E7B27C5B"/>
    <w:multiLevelType w:val="multilevel"/>
    <w:tmpl w:val="E7B27C5B"/>
    <w:lvl w:ilvl="0" w:tentative="1">
      <w:start w:val="1"/>
      <w:numFmt w:val="decimal"/>
      <w:lvlText w:val="(%1)"/>
      <w:lvlJc w:val="left"/>
      <w:pPr>
        <w:ind w:left="543" w:hanging="316"/>
      </w:pPr>
      <w:rPr>
        <w:rFonts w:hint="default"/>
        <w:sz w:val="19"/>
        <w:szCs w:val="19"/>
        <w:u w:val="single" w:color="000000"/>
        <w:lang w:val="zh-CN" w:eastAsia="zh-CN" w:bidi="zh-CN"/>
      </w:rPr>
    </w:lvl>
    <w:lvl w:ilvl="1" w:tentative="1">
      <w:start w:val="0"/>
      <w:numFmt w:val="bullet"/>
      <w:lvlText w:val="•"/>
      <w:lvlJc w:val="left"/>
      <w:pPr>
        <w:ind w:left="1487" w:hanging="316"/>
      </w:pPr>
      <w:rPr>
        <w:rFonts w:hint="default"/>
        <w:lang w:val="zh-CN" w:eastAsia="zh-CN" w:bidi="zh-CN"/>
      </w:rPr>
    </w:lvl>
    <w:lvl w:ilvl="2" w:tentative="1">
      <w:start w:val="0"/>
      <w:numFmt w:val="bullet"/>
      <w:lvlText w:val="•"/>
      <w:lvlJc w:val="left"/>
      <w:pPr>
        <w:ind w:left="2434" w:hanging="316"/>
      </w:pPr>
      <w:rPr>
        <w:rFonts w:hint="default"/>
        <w:lang w:val="zh-CN" w:eastAsia="zh-CN" w:bidi="zh-CN"/>
      </w:rPr>
    </w:lvl>
    <w:lvl w:ilvl="3" w:tentative="1">
      <w:start w:val="0"/>
      <w:numFmt w:val="bullet"/>
      <w:lvlText w:val="•"/>
      <w:lvlJc w:val="left"/>
      <w:pPr>
        <w:ind w:left="3381" w:hanging="316"/>
      </w:pPr>
      <w:rPr>
        <w:rFonts w:hint="default"/>
        <w:lang w:val="zh-CN" w:eastAsia="zh-CN" w:bidi="zh-CN"/>
      </w:rPr>
    </w:lvl>
    <w:lvl w:ilvl="4" w:tentative="1">
      <w:start w:val="0"/>
      <w:numFmt w:val="bullet"/>
      <w:lvlText w:val="•"/>
      <w:lvlJc w:val="left"/>
      <w:pPr>
        <w:ind w:left="4328" w:hanging="316"/>
      </w:pPr>
      <w:rPr>
        <w:rFonts w:hint="default"/>
        <w:lang w:val="zh-CN" w:eastAsia="zh-CN" w:bidi="zh-CN"/>
      </w:rPr>
    </w:lvl>
    <w:lvl w:ilvl="5" w:tentative="1">
      <w:start w:val="0"/>
      <w:numFmt w:val="bullet"/>
      <w:lvlText w:val="•"/>
      <w:lvlJc w:val="left"/>
      <w:pPr>
        <w:ind w:left="5275" w:hanging="316"/>
      </w:pPr>
      <w:rPr>
        <w:rFonts w:hint="default"/>
        <w:lang w:val="zh-CN" w:eastAsia="zh-CN" w:bidi="zh-CN"/>
      </w:rPr>
    </w:lvl>
    <w:lvl w:ilvl="6" w:tentative="1">
      <w:start w:val="0"/>
      <w:numFmt w:val="bullet"/>
      <w:lvlText w:val="•"/>
      <w:lvlJc w:val="left"/>
      <w:pPr>
        <w:ind w:left="6222" w:hanging="316"/>
      </w:pPr>
      <w:rPr>
        <w:rFonts w:hint="default"/>
        <w:lang w:val="zh-CN" w:eastAsia="zh-CN" w:bidi="zh-CN"/>
      </w:rPr>
    </w:lvl>
    <w:lvl w:ilvl="7" w:tentative="1">
      <w:start w:val="0"/>
      <w:numFmt w:val="bullet"/>
      <w:lvlText w:val="•"/>
      <w:lvlJc w:val="left"/>
      <w:pPr>
        <w:ind w:left="7169" w:hanging="316"/>
      </w:pPr>
      <w:rPr>
        <w:rFonts w:hint="default"/>
        <w:lang w:val="zh-CN" w:eastAsia="zh-CN" w:bidi="zh-CN"/>
      </w:rPr>
    </w:lvl>
    <w:lvl w:ilvl="8" w:tentative="1">
      <w:start w:val="0"/>
      <w:numFmt w:val="bullet"/>
      <w:lvlText w:val="•"/>
      <w:lvlJc w:val="left"/>
      <w:pPr>
        <w:ind w:left="8116" w:hanging="316"/>
      </w:pPr>
      <w:rPr>
        <w:rFonts w:hint="default"/>
        <w:lang w:val="zh-CN" w:eastAsia="zh-CN" w:bidi="zh-CN"/>
      </w:rPr>
    </w:lvl>
  </w:abstractNum>
  <w:abstractNum w:abstractNumId="2597283232">
    <w:nsid w:val="9ACF65A0"/>
    <w:multiLevelType w:val="multilevel"/>
    <w:tmpl w:val="9ACF65A0"/>
    <w:lvl w:ilvl="0" w:tentative="1">
      <w:start w:val="1"/>
      <w:numFmt w:val="decimal"/>
      <w:lvlText w:val="(%1)"/>
      <w:lvlJc w:val="left"/>
      <w:pPr>
        <w:ind w:left="543" w:hanging="316"/>
      </w:pPr>
      <w:rPr>
        <w:rFonts w:hint="default"/>
        <w:sz w:val="19"/>
        <w:szCs w:val="19"/>
        <w:u w:val="single" w:color="000000"/>
        <w:lang w:val="zh-CN" w:eastAsia="zh-CN" w:bidi="zh-CN"/>
      </w:rPr>
    </w:lvl>
    <w:lvl w:ilvl="1" w:tentative="1">
      <w:start w:val="0"/>
      <w:numFmt w:val="bullet"/>
      <w:lvlText w:val="•"/>
      <w:lvlJc w:val="left"/>
      <w:pPr>
        <w:ind w:left="1487" w:hanging="316"/>
      </w:pPr>
      <w:rPr>
        <w:rFonts w:hint="default"/>
        <w:lang w:val="zh-CN" w:eastAsia="zh-CN" w:bidi="zh-CN"/>
      </w:rPr>
    </w:lvl>
    <w:lvl w:ilvl="2" w:tentative="1">
      <w:start w:val="0"/>
      <w:numFmt w:val="bullet"/>
      <w:lvlText w:val="•"/>
      <w:lvlJc w:val="left"/>
      <w:pPr>
        <w:ind w:left="2434" w:hanging="316"/>
      </w:pPr>
      <w:rPr>
        <w:rFonts w:hint="default"/>
        <w:lang w:val="zh-CN" w:eastAsia="zh-CN" w:bidi="zh-CN"/>
      </w:rPr>
    </w:lvl>
    <w:lvl w:ilvl="3" w:tentative="1">
      <w:start w:val="0"/>
      <w:numFmt w:val="bullet"/>
      <w:lvlText w:val="•"/>
      <w:lvlJc w:val="left"/>
      <w:pPr>
        <w:ind w:left="3381" w:hanging="316"/>
      </w:pPr>
      <w:rPr>
        <w:rFonts w:hint="default"/>
        <w:lang w:val="zh-CN" w:eastAsia="zh-CN" w:bidi="zh-CN"/>
      </w:rPr>
    </w:lvl>
    <w:lvl w:ilvl="4" w:tentative="1">
      <w:start w:val="0"/>
      <w:numFmt w:val="bullet"/>
      <w:lvlText w:val="•"/>
      <w:lvlJc w:val="left"/>
      <w:pPr>
        <w:ind w:left="4328" w:hanging="316"/>
      </w:pPr>
      <w:rPr>
        <w:rFonts w:hint="default"/>
        <w:lang w:val="zh-CN" w:eastAsia="zh-CN" w:bidi="zh-CN"/>
      </w:rPr>
    </w:lvl>
    <w:lvl w:ilvl="5" w:tentative="1">
      <w:start w:val="0"/>
      <w:numFmt w:val="bullet"/>
      <w:lvlText w:val="•"/>
      <w:lvlJc w:val="left"/>
      <w:pPr>
        <w:ind w:left="5275" w:hanging="316"/>
      </w:pPr>
      <w:rPr>
        <w:rFonts w:hint="default"/>
        <w:lang w:val="zh-CN" w:eastAsia="zh-CN" w:bidi="zh-CN"/>
      </w:rPr>
    </w:lvl>
    <w:lvl w:ilvl="6" w:tentative="1">
      <w:start w:val="0"/>
      <w:numFmt w:val="bullet"/>
      <w:lvlText w:val="•"/>
      <w:lvlJc w:val="left"/>
      <w:pPr>
        <w:ind w:left="6222" w:hanging="316"/>
      </w:pPr>
      <w:rPr>
        <w:rFonts w:hint="default"/>
        <w:lang w:val="zh-CN" w:eastAsia="zh-CN" w:bidi="zh-CN"/>
      </w:rPr>
    </w:lvl>
    <w:lvl w:ilvl="7" w:tentative="1">
      <w:start w:val="0"/>
      <w:numFmt w:val="bullet"/>
      <w:lvlText w:val="•"/>
      <w:lvlJc w:val="left"/>
      <w:pPr>
        <w:ind w:left="7169" w:hanging="316"/>
      </w:pPr>
      <w:rPr>
        <w:rFonts w:hint="default"/>
        <w:lang w:val="zh-CN" w:eastAsia="zh-CN" w:bidi="zh-CN"/>
      </w:rPr>
    </w:lvl>
    <w:lvl w:ilvl="8" w:tentative="1">
      <w:start w:val="0"/>
      <w:numFmt w:val="bullet"/>
      <w:lvlText w:val="•"/>
      <w:lvlJc w:val="left"/>
      <w:pPr>
        <w:ind w:left="8116" w:hanging="316"/>
      </w:pPr>
      <w:rPr>
        <w:rFonts w:hint="default"/>
        <w:lang w:val="zh-CN" w:eastAsia="zh-CN" w:bidi="zh-CN"/>
      </w:rPr>
    </w:lvl>
  </w:abstractNum>
  <w:abstractNum w:abstractNumId="1508834602">
    <w:nsid w:val="59EEFD2A"/>
    <w:multiLevelType w:val="multilevel"/>
    <w:tmpl w:val="59EEFD2A"/>
    <w:lvl w:ilvl="0" w:tentative="1">
      <w:start w:val="1"/>
      <w:numFmt w:val="decimal"/>
      <w:lvlText w:val="(%1)"/>
      <w:lvlJc w:val="left"/>
      <w:pPr>
        <w:ind w:left="543" w:hanging="316"/>
      </w:pPr>
      <w:rPr>
        <w:rFonts w:hint="default"/>
        <w:sz w:val="19"/>
        <w:szCs w:val="19"/>
        <w:u w:val="single" w:color="000000"/>
        <w:lang w:val="zh-CN" w:eastAsia="zh-CN" w:bidi="zh-CN"/>
      </w:rPr>
    </w:lvl>
    <w:lvl w:ilvl="1" w:tentative="1">
      <w:start w:val="0"/>
      <w:numFmt w:val="bullet"/>
      <w:lvlText w:val="•"/>
      <w:lvlJc w:val="left"/>
      <w:pPr>
        <w:ind w:left="1487" w:hanging="316"/>
      </w:pPr>
      <w:rPr>
        <w:rFonts w:hint="default"/>
        <w:lang w:val="zh-CN" w:eastAsia="zh-CN" w:bidi="zh-CN"/>
      </w:rPr>
    </w:lvl>
    <w:lvl w:ilvl="2" w:tentative="1">
      <w:start w:val="0"/>
      <w:numFmt w:val="bullet"/>
      <w:lvlText w:val="•"/>
      <w:lvlJc w:val="left"/>
      <w:pPr>
        <w:ind w:left="2434" w:hanging="316"/>
      </w:pPr>
      <w:rPr>
        <w:rFonts w:hint="default"/>
        <w:lang w:val="zh-CN" w:eastAsia="zh-CN" w:bidi="zh-CN"/>
      </w:rPr>
    </w:lvl>
    <w:lvl w:ilvl="3" w:tentative="1">
      <w:start w:val="0"/>
      <w:numFmt w:val="bullet"/>
      <w:lvlText w:val="•"/>
      <w:lvlJc w:val="left"/>
      <w:pPr>
        <w:ind w:left="3381" w:hanging="316"/>
      </w:pPr>
      <w:rPr>
        <w:rFonts w:hint="default"/>
        <w:lang w:val="zh-CN" w:eastAsia="zh-CN" w:bidi="zh-CN"/>
      </w:rPr>
    </w:lvl>
    <w:lvl w:ilvl="4" w:tentative="1">
      <w:start w:val="0"/>
      <w:numFmt w:val="bullet"/>
      <w:lvlText w:val="•"/>
      <w:lvlJc w:val="left"/>
      <w:pPr>
        <w:ind w:left="4328" w:hanging="316"/>
      </w:pPr>
      <w:rPr>
        <w:rFonts w:hint="default"/>
        <w:lang w:val="zh-CN" w:eastAsia="zh-CN" w:bidi="zh-CN"/>
      </w:rPr>
    </w:lvl>
    <w:lvl w:ilvl="5" w:tentative="1">
      <w:start w:val="0"/>
      <w:numFmt w:val="bullet"/>
      <w:lvlText w:val="•"/>
      <w:lvlJc w:val="left"/>
      <w:pPr>
        <w:ind w:left="5275" w:hanging="316"/>
      </w:pPr>
      <w:rPr>
        <w:rFonts w:hint="default"/>
        <w:lang w:val="zh-CN" w:eastAsia="zh-CN" w:bidi="zh-CN"/>
      </w:rPr>
    </w:lvl>
    <w:lvl w:ilvl="6" w:tentative="1">
      <w:start w:val="0"/>
      <w:numFmt w:val="bullet"/>
      <w:lvlText w:val="•"/>
      <w:lvlJc w:val="left"/>
      <w:pPr>
        <w:ind w:left="6222" w:hanging="316"/>
      </w:pPr>
      <w:rPr>
        <w:rFonts w:hint="default"/>
        <w:lang w:val="zh-CN" w:eastAsia="zh-CN" w:bidi="zh-CN"/>
      </w:rPr>
    </w:lvl>
    <w:lvl w:ilvl="7" w:tentative="1">
      <w:start w:val="0"/>
      <w:numFmt w:val="bullet"/>
      <w:lvlText w:val="•"/>
      <w:lvlJc w:val="left"/>
      <w:pPr>
        <w:ind w:left="7169" w:hanging="316"/>
      </w:pPr>
      <w:rPr>
        <w:rFonts w:hint="default"/>
        <w:lang w:val="zh-CN" w:eastAsia="zh-CN" w:bidi="zh-CN"/>
      </w:rPr>
    </w:lvl>
    <w:lvl w:ilvl="8" w:tentative="1">
      <w:start w:val="0"/>
      <w:numFmt w:val="bullet"/>
      <w:lvlText w:val="•"/>
      <w:lvlJc w:val="left"/>
      <w:pPr>
        <w:ind w:left="8116" w:hanging="316"/>
      </w:pPr>
      <w:rPr>
        <w:rFonts w:hint="default"/>
        <w:lang w:val="zh-CN" w:eastAsia="zh-CN" w:bidi="zh-CN"/>
      </w:rPr>
    </w:lvl>
  </w:abstractNum>
  <w:abstractNum w:abstractNumId="3181459804">
    <w:nsid w:val="BDA1395C"/>
    <w:multiLevelType w:val="multilevel"/>
    <w:tmpl w:val="BDA1395C"/>
    <w:lvl w:ilvl="0" w:tentative="1">
      <w:start w:val="1"/>
      <w:numFmt w:val="decimal"/>
      <w:lvlText w:val="(%1)"/>
      <w:lvlJc w:val="left"/>
      <w:pPr>
        <w:ind w:left="543" w:hanging="316"/>
      </w:pPr>
      <w:rPr>
        <w:rFonts w:hint="default"/>
        <w:sz w:val="19"/>
        <w:szCs w:val="19"/>
        <w:u w:val="single" w:color="000000"/>
        <w:lang w:val="zh-CN" w:eastAsia="zh-CN" w:bidi="zh-CN"/>
      </w:rPr>
    </w:lvl>
    <w:lvl w:ilvl="1" w:tentative="1">
      <w:start w:val="0"/>
      <w:numFmt w:val="bullet"/>
      <w:lvlText w:val="•"/>
      <w:lvlJc w:val="left"/>
      <w:pPr>
        <w:ind w:left="1487" w:hanging="316"/>
      </w:pPr>
      <w:rPr>
        <w:rFonts w:hint="default"/>
        <w:lang w:val="zh-CN" w:eastAsia="zh-CN" w:bidi="zh-CN"/>
      </w:rPr>
    </w:lvl>
    <w:lvl w:ilvl="2" w:tentative="1">
      <w:start w:val="0"/>
      <w:numFmt w:val="bullet"/>
      <w:lvlText w:val="•"/>
      <w:lvlJc w:val="left"/>
      <w:pPr>
        <w:ind w:left="2434" w:hanging="316"/>
      </w:pPr>
      <w:rPr>
        <w:rFonts w:hint="default"/>
        <w:lang w:val="zh-CN" w:eastAsia="zh-CN" w:bidi="zh-CN"/>
      </w:rPr>
    </w:lvl>
    <w:lvl w:ilvl="3" w:tentative="1">
      <w:start w:val="0"/>
      <w:numFmt w:val="bullet"/>
      <w:lvlText w:val="•"/>
      <w:lvlJc w:val="left"/>
      <w:pPr>
        <w:ind w:left="3381" w:hanging="316"/>
      </w:pPr>
      <w:rPr>
        <w:rFonts w:hint="default"/>
        <w:lang w:val="zh-CN" w:eastAsia="zh-CN" w:bidi="zh-CN"/>
      </w:rPr>
    </w:lvl>
    <w:lvl w:ilvl="4" w:tentative="1">
      <w:start w:val="0"/>
      <w:numFmt w:val="bullet"/>
      <w:lvlText w:val="•"/>
      <w:lvlJc w:val="left"/>
      <w:pPr>
        <w:ind w:left="4328" w:hanging="316"/>
      </w:pPr>
      <w:rPr>
        <w:rFonts w:hint="default"/>
        <w:lang w:val="zh-CN" w:eastAsia="zh-CN" w:bidi="zh-CN"/>
      </w:rPr>
    </w:lvl>
    <w:lvl w:ilvl="5" w:tentative="1">
      <w:start w:val="0"/>
      <w:numFmt w:val="bullet"/>
      <w:lvlText w:val="•"/>
      <w:lvlJc w:val="left"/>
      <w:pPr>
        <w:ind w:left="5275" w:hanging="316"/>
      </w:pPr>
      <w:rPr>
        <w:rFonts w:hint="default"/>
        <w:lang w:val="zh-CN" w:eastAsia="zh-CN" w:bidi="zh-CN"/>
      </w:rPr>
    </w:lvl>
    <w:lvl w:ilvl="6" w:tentative="1">
      <w:start w:val="0"/>
      <w:numFmt w:val="bullet"/>
      <w:lvlText w:val="•"/>
      <w:lvlJc w:val="left"/>
      <w:pPr>
        <w:ind w:left="6222" w:hanging="316"/>
      </w:pPr>
      <w:rPr>
        <w:rFonts w:hint="default"/>
        <w:lang w:val="zh-CN" w:eastAsia="zh-CN" w:bidi="zh-CN"/>
      </w:rPr>
    </w:lvl>
    <w:lvl w:ilvl="7" w:tentative="1">
      <w:start w:val="0"/>
      <w:numFmt w:val="bullet"/>
      <w:lvlText w:val="•"/>
      <w:lvlJc w:val="left"/>
      <w:pPr>
        <w:ind w:left="7169" w:hanging="316"/>
      </w:pPr>
      <w:rPr>
        <w:rFonts w:hint="default"/>
        <w:lang w:val="zh-CN" w:eastAsia="zh-CN" w:bidi="zh-CN"/>
      </w:rPr>
    </w:lvl>
    <w:lvl w:ilvl="8" w:tentative="1">
      <w:start w:val="0"/>
      <w:numFmt w:val="bullet"/>
      <w:lvlText w:val="•"/>
      <w:lvlJc w:val="left"/>
      <w:pPr>
        <w:ind w:left="8116" w:hanging="316"/>
      </w:pPr>
      <w:rPr>
        <w:rFonts w:hint="default"/>
        <w:lang w:val="zh-CN" w:eastAsia="zh-CN" w:bidi="zh-CN"/>
      </w:rPr>
    </w:lvl>
  </w:abstractNum>
  <w:abstractNum w:abstractNumId="2968361962">
    <w:nsid w:val="B0ED9BEA"/>
    <w:multiLevelType w:val="multilevel"/>
    <w:tmpl w:val="B0ED9BEA"/>
    <w:lvl w:ilvl="0" w:tentative="1">
      <w:start w:val="1"/>
      <w:numFmt w:val="decimal"/>
      <w:lvlText w:val="(%1)"/>
      <w:lvlJc w:val="left"/>
      <w:pPr>
        <w:ind w:left="543" w:hanging="316"/>
      </w:pPr>
      <w:rPr>
        <w:rFonts w:hint="default"/>
        <w:sz w:val="19"/>
        <w:szCs w:val="19"/>
        <w:u w:val="single" w:color="000000"/>
        <w:lang w:val="zh-CN" w:eastAsia="zh-CN" w:bidi="zh-CN"/>
      </w:rPr>
    </w:lvl>
    <w:lvl w:ilvl="1" w:tentative="1">
      <w:start w:val="0"/>
      <w:numFmt w:val="bullet"/>
      <w:lvlText w:val="•"/>
      <w:lvlJc w:val="left"/>
      <w:pPr>
        <w:ind w:left="1487" w:hanging="316"/>
      </w:pPr>
      <w:rPr>
        <w:rFonts w:hint="default"/>
        <w:lang w:val="zh-CN" w:eastAsia="zh-CN" w:bidi="zh-CN"/>
      </w:rPr>
    </w:lvl>
    <w:lvl w:ilvl="2" w:tentative="1">
      <w:start w:val="0"/>
      <w:numFmt w:val="bullet"/>
      <w:lvlText w:val="•"/>
      <w:lvlJc w:val="left"/>
      <w:pPr>
        <w:ind w:left="2434" w:hanging="316"/>
      </w:pPr>
      <w:rPr>
        <w:rFonts w:hint="default"/>
        <w:lang w:val="zh-CN" w:eastAsia="zh-CN" w:bidi="zh-CN"/>
      </w:rPr>
    </w:lvl>
    <w:lvl w:ilvl="3" w:tentative="1">
      <w:start w:val="0"/>
      <w:numFmt w:val="bullet"/>
      <w:lvlText w:val="•"/>
      <w:lvlJc w:val="left"/>
      <w:pPr>
        <w:ind w:left="3381" w:hanging="316"/>
      </w:pPr>
      <w:rPr>
        <w:rFonts w:hint="default"/>
        <w:lang w:val="zh-CN" w:eastAsia="zh-CN" w:bidi="zh-CN"/>
      </w:rPr>
    </w:lvl>
    <w:lvl w:ilvl="4" w:tentative="1">
      <w:start w:val="0"/>
      <w:numFmt w:val="bullet"/>
      <w:lvlText w:val="•"/>
      <w:lvlJc w:val="left"/>
      <w:pPr>
        <w:ind w:left="4328" w:hanging="316"/>
      </w:pPr>
      <w:rPr>
        <w:rFonts w:hint="default"/>
        <w:lang w:val="zh-CN" w:eastAsia="zh-CN" w:bidi="zh-CN"/>
      </w:rPr>
    </w:lvl>
    <w:lvl w:ilvl="5" w:tentative="1">
      <w:start w:val="0"/>
      <w:numFmt w:val="bullet"/>
      <w:lvlText w:val="•"/>
      <w:lvlJc w:val="left"/>
      <w:pPr>
        <w:ind w:left="5275" w:hanging="316"/>
      </w:pPr>
      <w:rPr>
        <w:rFonts w:hint="default"/>
        <w:lang w:val="zh-CN" w:eastAsia="zh-CN" w:bidi="zh-CN"/>
      </w:rPr>
    </w:lvl>
    <w:lvl w:ilvl="6" w:tentative="1">
      <w:start w:val="0"/>
      <w:numFmt w:val="bullet"/>
      <w:lvlText w:val="•"/>
      <w:lvlJc w:val="left"/>
      <w:pPr>
        <w:ind w:left="6222" w:hanging="316"/>
      </w:pPr>
      <w:rPr>
        <w:rFonts w:hint="default"/>
        <w:lang w:val="zh-CN" w:eastAsia="zh-CN" w:bidi="zh-CN"/>
      </w:rPr>
    </w:lvl>
    <w:lvl w:ilvl="7" w:tentative="1">
      <w:start w:val="0"/>
      <w:numFmt w:val="bullet"/>
      <w:lvlText w:val="•"/>
      <w:lvlJc w:val="left"/>
      <w:pPr>
        <w:ind w:left="7169" w:hanging="316"/>
      </w:pPr>
      <w:rPr>
        <w:rFonts w:hint="default"/>
        <w:lang w:val="zh-CN" w:eastAsia="zh-CN" w:bidi="zh-CN"/>
      </w:rPr>
    </w:lvl>
    <w:lvl w:ilvl="8" w:tentative="1">
      <w:start w:val="0"/>
      <w:numFmt w:val="bullet"/>
      <w:lvlText w:val="•"/>
      <w:lvlJc w:val="left"/>
      <w:pPr>
        <w:ind w:left="8116" w:hanging="316"/>
      </w:pPr>
      <w:rPr>
        <w:rFonts w:hint="default"/>
        <w:lang w:val="zh-CN" w:eastAsia="zh-CN" w:bidi="zh-CN"/>
      </w:rPr>
    </w:lvl>
  </w:abstractNum>
  <w:abstractNum w:abstractNumId="10">
    <w:nsid w:val="0000000A"/>
    <w:multiLevelType w:val="singleLevel"/>
    <w:tmpl w:val="0000000A"/>
    <w:lvl w:ilvl="0" w:tentative="1">
      <w:start w:val="1"/>
      <w:numFmt w:val="decimal"/>
      <w:suff w:val="nothing"/>
      <w:lvlText w:val="%1．"/>
      <w:lvlJc w:val="left"/>
    </w:lvl>
  </w:abstractNum>
  <w:num w:numId="1">
    <w:abstractNumId w:val="15"/>
  </w:num>
  <w:num w:numId="2">
    <w:abstractNumId w:val="13"/>
  </w:num>
  <w:num w:numId="3">
    <w:abstractNumId w:val="14"/>
  </w:num>
  <w:num w:numId="4">
    <w:abstractNumId w:val="6"/>
  </w:num>
  <w:num w:numId="5">
    <w:abstractNumId w:val="1276824399"/>
  </w:num>
  <w:num w:numId="6">
    <w:abstractNumId w:val="9"/>
  </w:num>
  <w:num w:numId="7">
    <w:abstractNumId w:val="3842282620"/>
  </w:num>
  <w:num w:numId="8">
    <w:abstractNumId w:val="3303068234"/>
  </w:num>
  <w:num w:numId="9">
    <w:abstractNumId w:val="2697540946"/>
  </w:num>
  <w:num w:numId="10">
    <w:abstractNumId w:val="2002989590"/>
  </w:num>
  <w:num w:numId="11">
    <w:abstractNumId w:val="3671304276"/>
  </w:num>
  <w:num w:numId="12">
    <w:abstractNumId w:val="3096256936"/>
  </w:num>
  <w:num w:numId="13">
    <w:abstractNumId w:val="791509454"/>
  </w:num>
  <w:num w:numId="14">
    <w:abstractNumId w:val="3887234139"/>
  </w:num>
  <w:num w:numId="15">
    <w:abstractNumId w:val="2597283232"/>
  </w:num>
  <w:num w:numId="16">
    <w:abstractNumId w:val="1508834602"/>
  </w:num>
  <w:num w:numId="17">
    <w:abstractNumId w:val="3181459804"/>
  </w:num>
  <w:num w:numId="18">
    <w:abstractNumId w:val="296836196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YWUyNWFmMTY5ZTM4ODlmMTk3M2Y5ZGZjN2IwOWUifQ=="/>
  </w:docVars>
  <w:rsids>
    <w:rsidRoot w:val="00963B15"/>
    <w:rsid w:val="00070112"/>
    <w:rsid w:val="00086573"/>
    <w:rsid w:val="00091BED"/>
    <w:rsid w:val="000A2A7D"/>
    <w:rsid w:val="000C2B3F"/>
    <w:rsid w:val="0014077A"/>
    <w:rsid w:val="001C5310"/>
    <w:rsid w:val="001C6635"/>
    <w:rsid w:val="00220B49"/>
    <w:rsid w:val="002257C1"/>
    <w:rsid w:val="00246027"/>
    <w:rsid w:val="00266A13"/>
    <w:rsid w:val="0027707C"/>
    <w:rsid w:val="00297813"/>
    <w:rsid w:val="00312911"/>
    <w:rsid w:val="003734B8"/>
    <w:rsid w:val="00397E64"/>
    <w:rsid w:val="003B4CDF"/>
    <w:rsid w:val="00424332"/>
    <w:rsid w:val="00424D2C"/>
    <w:rsid w:val="00453B76"/>
    <w:rsid w:val="00485D69"/>
    <w:rsid w:val="00494C9D"/>
    <w:rsid w:val="004A72D0"/>
    <w:rsid w:val="004B750D"/>
    <w:rsid w:val="004C29D5"/>
    <w:rsid w:val="00522B35"/>
    <w:rsid w:val="00591948"/>
    <w:rsid w:val="0059540A"/>
    <w:rsid w:val="005B5B2B"/>
    <w:rsid w:val="005D2854"/>
    <w:rsid w:val="0064605A"/>
    <w:rsid w:val="00670418"/>
    <w:rsid w:val="006A146D"/>
    <w:rsid w:val="006D08A2"/>
    <w:rsid w:val="006D7EF0"/>
    <w:rsid w:val="006E4773"/>
    <w:rsid w:val="006F3A1A"/>
    <w:rsid w:val="006F6BB8"/>
    <w:rsid w:val="00706146"/>
    <w:rsid w:val="00741F50"/>
    <w:rsid w:val="00756BA7"/>
    <w:rsid w:val="0076588E"/>
    <w:rsid w:val="007A0DF8"/>
    <w:rsid w:val="007B6FBA"/>
    <w:rsid w:val="007B7108"/>
    <w:rsid w:val="007B7D57"/>
    <w:rsid w:val="007C2D3A"/>
    <w:rsid w:val="007D4F53"/>
    <w:rsid w:val="007D60AA"/>
    <w:rsid w:val="007F7F5D"/>
    <w:rsid w:val="00876692"/>
    <w:rsid w:val="008E4021"/>
    <w:rsid w:val="008F48A6"/>
    <w:rsid w:val="00900E28"/>
    <w:rsid w:val="00963B15"/>
    <w:rsid w:val="00964A63"/>
    <w:rsid w:val="0098721D"/>
    <w:rsid w:val="00992D66"/>
    <w:rsid w:val="009C055E"/>
    <w:rsid w:val="009D0095"/>
    <w:rsid w:val="00A05357"/>
    <w:rsid w:val="00A35BDC"/>
    <w:rsid w:val="00A37FE0"/>
    <w:rsid w:val="00A8296E"/>
    <w:rsid w:val="00AD13B9"/>
    <w:rsid w:val="00AF3C26"/>
    <w:rsid w:val="00B336DD"/>
    <w:rsid w:val="00B452D5"/>
    <w:rsid w:val="00B456A7"/>
    <w:rsid w:val="00B473CD"/>
    <w:rsid w:val="00B500B9"/>
    <w:rsid w:val="00BA400D"/>
    <w:rsid w:val="00BB19B6"/>
    <w:rsid w:val="00BC3E89"/>
    <w:rsid w:val="00C00206"/>
    <w:rsid w:val="00C54378"/>
    <w:rsid w:val="00C5478C"/>
    <w:rsid w:val="00C638F6"/>
    <w:rsid w:val="00C917A4"/>
    <w:rsid w:val="00C9465C"/>
    <w:rsid w:val="00CB1B2B"/>
    <w:rsid w:val="00CB7BFD"/>
    <w:rsid w:val="00CD09D7"/>
    <w:rsid w:val="00D50E1D"/>
    <w:rsid w:val="00DA0DD8"/>
    <w:rsid w:val="00DE2148"/>
    <w:rsid w:val="00DF038B"/>
    <w:rsid w:val="00E0387C"/>
    <w:rsid w:val="00E05400"/>
    <w:rsid w:val="00E54C12"/>
    <w:rsid w:val="00E633E1"/>
    <w:rsid w:val="00EE10F0"/>
    <w:rsid w:val="00EE3014"/>
    <w:rsid w:val="00F60659"/>
    <w:rsid w:val="00FB5E04"/>
    <w:rsid w:val="00FB7EA7"/>
    <w:rsid w:val="00FC1703"/>
    <w:rsid w:val="00FE18C6"/>
    <w:rsid w:val="00FF64CD"/>
    <w:rsid w:val="01436D1C"/>
    <w:rsid w:val="01AA7355"/>
    <w:rsid w:val="02796EE9"/>
    <w:rsid w:val="02963DFC"/>
    <w:rsid w:val="02F155D6"/>
    <w:rsid w:val="030429BE"/>
    <w:rsid w:val="03F62DA4"/>
    <w:rsid w:val="08463B8C"/>
    <w:rsid w:val="0850306F"/>
    <w:rsid w:val="0889727B"/>
    <w:rsid w:val="08D306C7"/>
    <w:rsid w:val="08F2252A"/>
    <w:rsid w:val="09694018"/>
    <w:rsid w:val="09AC53ED"/>
    <w:rsid w:val="0B901D30"/>
    <w:rsid w:val="0CCA3020"/>
    <w:rsid w:val="0D020A0B"/>
    <w:rsid w:val="0D49663A"/>
    <w:rsid w:val="0D701E19"/>
    <w:rsid w:val="0E5E7992"/>
    <w:rsid w:val="0E682AF0"/>
    <w:rsid w:val="0EC5310D"/>
    <w:rsid w:val="0EFE5B0E"/>
    <w:rsid w:val="0F6E7396"/>
    <w:rsid w:val="0F722183"/>
    <w:rsid w:val="0FA51E4D"/>
    <w:rsid w:val="0FCE2E27"/>
    <w:rsid w:val="0FE8038D"/>
    <w:rsid w:val="106317C1"/>
    <w:rsid w:val="11F76665"/>
    <w:rsid w:val="11F80467"/>
    <w:rsid w:val="1210249A"/>
    <w:rsid w:val="122D02D9"/>
    <w:rsid w:val="131D1352"/>
    <w:rsid w:val="137102B1"/>
    <w:rsid w:val="1733712E"/>
    <w:rsid w:val="17E87541"/>
    <w:rsid w:val="1A845113"/>
    <w:rsid w:val="1AB75F10"/>
    <w:rsid w:val="1BCA4827"/>
    <w:rsid w:val="1BDE0896"/>
    <w:rsid w:val="1C2269D4"/>
    <w:rsid w:val="1C545906"/>
    <w:rsid w:val="1CC950A2"/>
    <w:rsid w:val="1D2B7B0B"/>
    <w:rsid w:val="1D325E0F"/>
    <w:rsid w:val="1D836AEB"/>
    <w:rsid w:val="1D903E12"/>
    <w:rsid w:val="1DBB05FE"/>
    <w:rsid w:val="1DD733A8"/>
    <w:rsid w:val="1E2702D2"/>
    <w:rsid w:val="1F0702B3"/>
    <w:rsid w:val="1FF64400"/>
    <w:rsid w:val="202A4938"/>
    <w:rsid w:val="204A66E0"/>
    <w:rsid w:val="20AE6A88"/>
    <w:rsid w:val="216863EA"/>
    <w:rsid w:val="217A696B"/>
    <w:rsid w:val="21F04E7F"/>
    <w:rsid w:val="22A56110"/>
    <w:rsid w:val="22C911EB"/>
    <w:rsid w:val="22FC258A"/>
    <w:rsid w:val="242C0158"/>
    <w:rsid w:val="250824DF"/>
    <w:rsid w:val="259B0712"/>
    <w:rsid w:val="266C31F0"/>
    <w:rsid w:val="26D1483F"/>
    <w:rsid w:val="2754511E"/>
    <w:rsid w:val="276857E2"/>
    <w:rsid w:val="278D3D61"/>
    <w:rsid w:val="282A0DD2"/>
    <w:rsid w:val="29091224"/>
    <w:rsid w:val="29440AC4"/>
    <w:rsid w:val="2C752B50"/>
    <w:rsid w:val="2CE132A0"/>
    <w:rsid w:val="2CEB696E"/>
    <w:rsid w:val="2DEE2DDA"/>
    <w:rsid w:val="2DFA0DC5"/>
    <w:rsid w:val="2E0A2E34"/>
    <w:rsid w:val="2E612144"/>
    <w:rsid w:val="2E6A7D67"/>
    <w:rsid w:val="2E7E7CA2"/>
    <w:rsid w:val="2F34284F"/>
    <w:rsid w:val="2F805A94"/>
    <w:rsid w:val="30185CCC"/>
    <w:rsid w:val="30590093"/>
    <w:rsid w:val="3186135C"/>
    <w:rsid w:val="33030EB6"/>
    <w:rsid w:val="341D288D"/>
    <w:rsid w:val="349F797E"/>
    <w:rsid w:val="356E638F"/>
    <w:rsid w:val="35E93C67"/>
    <w:rsid w:val="36030FAD"/>
    <w:rsid w:val="363E3FB3"/>
    <w:rsid w:val="3781215B"/>
    <w:rsid w:val="37870D15"/>
    <w:rsid w:val="37955A26"/>
    <w:rsid w:val="39481B8A"/>
    <w:rsid w:val="399628B5"/>
    <w:rsid w:val="39AD6474"/>
    <w:rsid w:val="39B8407C"/>
    <w:rsid w:val="3A3B33CC"/>
    <w:rsid w:val="3AFB2473"/>
    <w:rsid w:val="3B1D4195"/>
    <w:rsid w:val="3B3D7CF3"/>
    <w:rsid w:val="3BB865B6"/>
    <w:rsid w:val="3BD96051"/>
    <w:rsid w:val="3BED141F"/>
    <w:rsid w:val="3C6807EF"/>
    <w:rsid w:val="3D523160"/>
    <w:rsid w:val="3ED5122D"/>
    <w:rsid w:val="3F177A97"/>
    <w:rsid w:val="3F1A1487"/>
    <w:rsid w:val="3F1C6E5B"/>
    <w:rsid w:val="3F520ACF"/>
    <w:rsid w:val="3F6B1D26"/>
    <w:rsid w:val="401E200A"/>
    <w:rsid w:val="40793ED7"/>
    <w:rsid w:val="40DF6392"/>
    <w:rsid w:val="411C7F85"/>
    <w:rsid w:val="41C0047C"/>
    <w:rsid w:val="41E55C2A"/>
    <w:rsid w:val="428C263D"/>
    <w:rsid w:val="43151407"/>
    <w:rsid w:val="44C935E1"/>
    <w:rsid w:val="45525385"/>
    <w:rsid w:val="45CB1C6F"/>
    <w:rsid w:val="46116FEE"/>
    <w:rsid w:val="46117980"/>
    <w:rsid w:val="462D194E"/>
    <w:rsid w:val="484315B6"/>
    <w:rsid w:val="4A6E6A61"/>
    <w:rsid w:val="4A9D70A2"/>
    <w:rsid w:val="4B0709C0"/>
    <w:rsid w:val="4BD71D7A"/>
    <w:rsid w:val="4BDF193C"/>
    <w:rsid w:val="4C586BCF"/>
    <w:rsid w:val="4C70791E"/>
    <w:rsid w:val="4D6B7C12"/>
    <w:rsid w:val="4DFF1E22"/>
    <w:rsid w:val="4E6D0841"/>
    <w:rsid w:val="4EBF6FC0"/>
    <w:rsid w:val="4FB82BD0"/>
    <w:rsid w:val="4FED1E5A"/>
    <w:rsid w:val="503C6F0D"/>
    <w:rsid w:val="50EE4B80"/>
    <w:rsid w:val="518C1C1F"/>
    <w:rsid w:val="52A64F62"/>
    <w:rsid w:val="52BD6C15"/>
    <w:rsid w:val="53471376"/>
    <w:rsid w:val="53D62381"/>
    <w:rsid w:val="54244390"/>
    <w:rsid w:val="546022AF"/>
    <w:rsid w:val="54AC316C"/>
    <w:rsid w:val="565A6AE1"/>
    <w:rsid w:val="569F41A2"/>
    <w:rsid w:val="56B901FB"/>
    <w:rsid w:val="56BE0ACC"/>
    <w:rsid w:val="570F757A"/>
    <w:rsid w:val="57E502DB"/>
    <w:rsid w:val="5852253F"/>
    <w:rsid w:val="58EB36CF"/>
    <w:rsid w:val="59C60694"/>
    <w:rsid w:val="59F818C1"/>
    <w:rsid w:val="5A3F38C4"/>
    <w:rsid w:val="5A8A39A1"/>
    <w:rsid w:val="5A9B1124"/>
    <w:rsid w:val="5B074592"/>
    <w:rsid w:val="5B597015"/>
    <w:rsid w:val="5B8D4F11"/>
    <w:rsid w:val="5D3D64C3"/>
    <w:rsid w:val="5D814602"/>
    <w:rsid w:val="5D891708"/>
    <w:rsid w:val="5DE86A07"/>
    <w:rsid w:val="5E0019CA"/>
    <w:rsid w:val="5EA467FA"/>
    <w:rsid w:val="5EDB5F93"/>
    <w:rsid w:val="5EE27322"/>
    <w:rsid w:val="5EE812A8"/>
    <w:rsid w:val="5F441D8B"/>
    <w:rsid w:val="600C1F46"/>
    <w:rsid w:val="60163727"/>
    <w:rsid w:val="60806DF2"/>
    <w:rsid w:val="62BC1787"/>
    <w:rsid w:val="64155AA4"/>
    <w:rsid w:val="642D54E3"/>
    <w:rsid w:val="647E189B"/>
    <w:rsid w:val="64E536C8"/>
    <w:rsid w:val="65077AE2"/>
    <w:rsid w:val="652F7039"/>
    <w:rsid w:val="65847241"/>
    <w:rsid w:val="66FD73EF"/>
    <w:rsid w:val="676A692D"/>
    <w:rsid w:val="67A552B7"/>
    <w:rsid w:val="69AF24F6"/>
    <w:rsid w:val="6A427B6A"/>
    <w:rsid w:val="6A781A90"/>
    <w:rsid w:val="6AD06BC8"/>
    <w:rsid w:val="6BC26511"/>
    <w:rsid w:val="6C19681E"/>
    <w:rsid w:val="6C75134A"/>
    <w:rsid w:val="6C7953F0"/>
    <w:rsid w:val="6C8E0584"/>
    <w:rsid w:val="6DA00AD4"/>
    <w:rsid w:val="6E8421A4"/>
    <w:rsid w:val="6EE844E0"/>
    <w:rsid w:val="6EFA6397"/>
    <w:rsid w:val="6F2914EE"/>
    <w:rsid w:val="6F3E2352"/>
    <w:rsid w:val="6F525DFE"/>
    <w:rsid w:val="6F984A11"/>
    <w:rsid w:val="71213CDA"/>
    <w:rsid w:val="71695B67"/>
    <w:rsid w:val="716A57FC"/>
    <w:rsid w:val="71770D86"/>
    <w:rsid w:val="71B763EC"/>
    <w:rsid w:val="71E52F59"/>
    <w:rsid w:val="7242778F"/>
    <w:rsid w:val="73124222"/>
    <w:rsid w:val="733C129F"/>
    <w:rsid w:val="73DB1CB9"/>
    <w:rsid w:val="75952EE8"/>
    <w:rsid w:val="76B80C3C"/>
    <w:rsid w:val="77A47413"/>
    <w:rsid w:val="77E61AF6"/>
    <w:rsid w:val="787E6FBC"/>
    <w:rsid w:val="789214ED"/>
    <w:rsid w:val="79707045"/>
    <w:rsid w:val="79AC4E08"/>
    <w:rsid w:val="7A707A80"/>
    <w:rsid w:val="7A756E44"/>
    <w:rsid w:val="7AF20495"/>
    <w:rsid w:val="7B9B28DB"/>
    <w:rsid w:val="7C6158D2"/>
    <w:rsid w:val="7D7E4262"/>
    <w:rsid w:val="7D853842"/>
    <w:rsid w:val="7DBA34EC"/>
    <w:rsid w:val="7DF1257E"/>
    <w:rsid w:val="7E5E47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qFormat/>
    <w:uiPriority w:val="1"/>
    <w:pPr>
      <w:spacing w:before="62"/>
      <w:ind w:left="677"/>
      <w:outlineLvl w:val="0"/>
    </w:pPr>
    <w:rPr>
      <w:b/>
      <w:bCs/>
      <w:sz w:val="31"/>
      <w:szCs w:val="31"/>
    </w:rPr>
  </w:style>
  <w:style w:type="paragraph" w:styleId="6">
    <w:name w:val="heading 2"/>
    <w:basedOn w:val="1"/>
    <w:next w:val="1"/>
    <w:qFormat/>
    <w:uiPriority w:val="1"/>
    <w:pPr>
      <w:ind w:left="1158" w:hanging="481"/>
      <w:outlineLvl w:val="1"/>
    </w:pPr>
    <w:rPr>
      <w:rFonts w:ascii="黑体" w:hAnsi="黑体" w:eastAsia="黑体" w:cs="黑体"/>
      <w:sz w:val="31"/>
      <w:szCs w:val="31"/>
    </w:rPr>
  </w:style>
  <w:style w:type="paragraph" w:styleId="7">
    <w:name w:val="heading 3"/>
    <w:basedOn w:val="1"/>
    <w:next w:val="1"/>
    <w:qFormat/>
    <w:uiPriority w:val="1"/>
    <w:pPr>
      <w:ind w:left="932" w:hanging="707"/>
      <w:outlineLvl w:val="2"/>
    </w:pPr>
    <w:rPr>
      <w:b/>
      <w:bCs/>
      <w:sz w:val="28"/>
      <w:szCs w:val="28"/>
    </w:rPr>
  </w:style>
  <w:style w:type="paragraph" w:styleId="8">
    <w:name w:val="heading 4"/>
    <w:basedOn w:val="1"/>
    <w:next w:val="1"/>
    <w:link w:val="95"/>
    <w:qFormat/>
    <w:uiPriority w:val="1"/>
    <w:pPr>
      <w:ind w:left="782"/>
      <w:outlineLvl w:val="3"/>
    </w:pPr>
    <w:rPr>
      <w:sz w:val="28"/>
      <w:szCs w:val="28"/>
    </w:rPr>
  </w:style>
  <w:style w:type="paragraph" w:styleId="9">
    <w:name w:val="heading 5"/>
    <w:basedOn w:val="1"/>
    <w:next w:val="1"/>
    <w:qFormat/>
    <w:uiPriority w:val="1"/>
    <w:pPr>
      <w:ind w:left="677"/>
      <w:outlineLvl w:val="4"/>
    </w:pPr>
    <w:rPr>
      <w:rFonts w:ascii="仿宋" w:hAnsi="仿宋" w:eastAsia="仿宋" w:cs="仿宋"/>
      <w:b/>
      <w:bCs/>
      <w:sz w:val="24"/>
      <w:szCs w:val="24"/>
    </w:rPr>
  </w:style>
  <w:style w:type="paragraph" w:styleId="10">
    <w:name w:val="heading 6"/>
    <w:basedOn w:val="1"/>
    <w:next w:val="1"/>
    <w:qFormat/>
    <w:uiPriority w:val="1"/>
    <w:pPr>
      <w:ind w:left="1113"/>
      <w:outlineLvl w:val="5"/>
    </w:pPr>
    <w:rPr>
      <w:b/>
      <w:bCs/>
      <w:sz w:val="21"/>
      <w:szCs w:val="21"/>
    </w:rPr>
  </w:style>
  <w:style w:type="character" w:default="1" w:styleId="33">
    <w:name w:val="Default Paragraph Font"/>
    <w:unhideWhenUsed/>
    <w:uiPriority w:val="1"/>
  </w:style>
  <w:style w:type="table" w:default="1" w:styleId="47">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firstLine="210"/>
    </w:pPr>
    <w:rPr>
      <w:rFonts w:ascii="Times New Roman" w:eastAsia="宋体"/>
      <w:sz w:val="21"/>
      <w:szCs w:val="24"/>
    </w:rPr>
  </w:style>
  <w:style w:type="paragraph" w:styleId="3">
    <w:name w:val="Body Text Indent"/>
    <w:basedOn w:val="1"/>
    <w:next w:val="4"/>
    <w:qFormat/>
    <w:uiPriority w:val="0"/>
    <w:pPr>
      <w:ind w:firstLine="645"/>
    </w:pPr>
    <w:rPr>
      <w:rFonts w:ascii="楷体_GB2312" w:eastAsia="楷体_GB2312"/>
      <w:sz w:val="32"/>
    </w:rPr>
  </w:style>
  <w:style w:type="paragraph" w:styleId="4">
    <w:name w:val="envelope return"/>
    <w:basedOn w:val="1"/>
    <w:next w:val="3"/>
    <w:qFormat/>
    <w:uiPriority w:val="0"/>
    <w:pPr>
      <w:snapToGrid w:val="0"/>
    </w:pPr>
    <w:rPr>
      <w:rFonts w:ascii="Arial" w:hAnsi="Arial" w:cs="Arial"/>
    </w:rPr>
  </w:style>
  <w:style w:type="paragraph" w:styleId="11">
    <w:name w:val="toc 7"/>
    <w:basedOn w:val="1"/>
    <w:next w:val="1"/>
    <w:unhideWhenUsed/>
    <w:qFormat/>
    <w:uiPriority w:val="39"/>
    <w:pPr>
      <w:autoSpaceDE/>
      <w:autoSpaceDN/>
      <w:ind w:left="2520" w:leftChars="1200"/>
      <w:jc w:val="both"/>
    </w:pPr>
    <w:rPr>
      <w:rFonts w:asciiTheme="minorHAnsi" w:hAnsiTheme="minorHAnsi" w:eastAsiaTheme="minorEastAsia" w:cstheme="minorBidi"/>
      <w:kern w:val="2"/>
      <w:sz w:val="21"/>
      <w:lang w:val="en-US" w:bidi="ar-SA"/>
    </w:rPr>
  </w:style>
  <w:style w:type="paragraph" w:styleId="12">
    <w:name w:val="Body Text First Indent"/>
    <w:basedOn w:val="1"/>
    <w:qFormat/>
    <w:uiPriority w:val="0"/>
    <w:pPr>
      <w:spacing w:after="120"/>
      <w:ind w:firstLine="309" w:firstLineChars="100"/>
      <w:outlineLvl w:val="0"/>
    </w:pPr>
    <w:rPr>
      <w:rFonts w:ascii="仿宋_GB2312" w:eastAsia="仿宋_GB2312"/>
      <w:bCs/>
      <w:color w:val="000000"/>
      <w:kern w:val="28"/>
      <w:szCs w:val="21"/>
    </w:rPr>
  </w:style>
  <w:style w:type="paragraph" w:styleId="13">
    <w:name w:val="Normal Indent"/>
    <w:basedOn w:val="1"/>
    <w:qFormat/>
    <w:uiPriority w:val="0"/>
    <w:pPr>
      <w:ind w:firstLine="420" w:firstLineChars="200"/>
    </w:pPr>
  </w:style>
  <w:style w:type="paragraph" w:styleId="14">
    <w:name w:val="annotation text"/>
    <w:basedOn w:val="1"/>
    <w:qFormat/>
    <w:uiPriority w:val="0"/>
  </w:style>
  <w:style w:type="paragraph" w:styleId="15">
    <w:name w:val="Body Text 3"/>
    <w:basedOn w:val="1"/>
    <w:qFormat/>
    <w:uiPriority w:val="0"/>
    <w:rPr>
      <w:sz w:val="24"/>
      <w:szCs w:val="20"/>
    </w:rPr>
  </w:style>
  <w:style w:type="paragraph" w:styleId="16">
    <w:name w:val="Body Text"/>
    <w:basedOn w:val="1"/>
    <w:next w:val="1"/>
    <w:qFormat/>
    <w:uiPriority w:val="1"/>
    <w:rPr>
      <w:sz w:val="21"/>
      <w:szCs w:val="21"/>
    </w:rPr>
  </w:style>
  <w:style w:type="paragraph" w:styleId="17">
    <w:name w:val="toc 5"/>
    <w:basedOn w:val="1"/>
    <w:next w:val="1"/>
    <w:unhideWhenUsed/>
    <w:qFormat/>
    <w:uiPriority w:val="39"/>
    <w:pPr>
      <w:autoSpaceDE/>
      <w:autoSpaceDN/>
      <w:ind w:left="1680" w:leftChars="800"/>
      <w:jc w:val="both"/>
    </w:pPr>
    <w:rPr>
      <w:rFonts w:asciiTheme="minorHAnsi" w:hAnsiTheme="minorHAnsi" w:eastAsiaTheme="minorEastAsia" w:cstheme="minorBidi"/>
      <w:kern w:val="2"/>
      <w:sz w:val="21"/>
      <w:lang w:val="en-US" w:bidi="ar-SA"/>
    </w:rPr>
  </w:style>
  <w:style w:type="paragraph" w:styleId="18">
    <w:name w:val="toc 3"/>
    <w:basedOn w:val="1"/>
    <w:next w:val="1"/>
    <w:qFormat/>
    <w:uiPriority w:val="39"/>
    <w:pPr>
      <w:ind w:left="840" w:leftChars="400"/>
    </w:pPr>
  </w:style>
  <w:style w:type="paragraph" w:styleId="19">
    <w:name w:val="Plain Text"/>
    <w:basedOn w:val="1"/>
    <w:qFormat/>
    <w:uiPriority w:val="99"/>
    <w:pPr>
      <w:spacing w:line="580" w:lineRule="exact"/>
      <w:ind w:right="-197" w:firstLine="560" w:firstLineChars="200"/>
    </w:pPr>
    <w:rPr>
      <w:rFonts w:ascii="Arial" w:hAnsi="华文细黑" w:eastAsia="Arial"/>
      <w:sz w:val="28"/>
      <w:szCs w:val="20"/>
    </w:rPr>
  </w:style>
  <w:style w:type="paragraph" w:styleId="20">
    <w:name w:val="toc 8"/>
    <w:basedOn w:val="1"/>
    <w:next w:val="1"/>
    <w:unhideWhenUsed/>
    <w:qFormat/>
    <w:uiPriority w:val="39"/>
    <w:pPr>
      <w:autoSpaceDE/>
      <w:autoSpaceDN/>
      <w:ind w:left="2940" w:leftChars="1400"/>
      <w:jc w:val="both"/>
    </w:pPr>
    <w:rPr>
      <w:rFonts w:asciiTheme="minorHAnsi" w:hAnsiTheme="minorHAnsi" w:eastAsiaTheme="minorEastAsia" w:cstheme="minorBidi"/>
      <w:kern w:val="2"/>
      <w:sz w:val="21"/>
      <w:lang w:val="en-US" w:bidi="ar-SA"/>
    </w:rPr>
  </w:style>
  <w:style w:type="paragraph" w:styleId="21">
    <w:name w:val="Body Text Indent 2"/>
    <w:basedOn w:val="1"/>
    <w:next w:val="1"/>
    <w:qFormat/>
    <w:uiPriority w:val="99"/>
    <w:pPr>
      <w:spacing w:after="120" w:line="480" w:lineRule="auto"/>
      <w:ind w:left="420" w:leftChars="200"/>
    </w:pPr>
  </w:style>
  <w:style w:type="paragraph" w:styleId="22">
    <w:name w:val="Balloon Text"/>
    <w:basedOn w:val="1"/>
    <w:link w:val="52"/>
    <w:qFormat/>
    <w:uiPriority w:val="0"/>
    <w:rPr>
      <w:sz w:val="18"/>
      <w:szCs w:val="18"/>
    </w:rPr>
  </w:style>
  <w:style w:type="paragraph" w:styleId="23">
    <w:name w:val="footer"/>
    <w:basedOn w:val="1"/>
    <w:link w:val="51"/>
    <w:qFormat/>
    <w:uiPriority w:val="0"/>
    <w:pPr>
      <w:tabs>
        <w:tab w:val="center" w:pos="4153"/>
        <w:tab w:val="right" w:pos="8306"/>
      </w:tabs>
      <w:snapToGrid w:val="0"/>
    </w:pPr>
    <w:rPr>
      <w:sz w:val="18"/>
      <w:szCs w:val="18"/>
    </w:rPr>
  </w:style>
  <w:style w:type="paragraph" w:styleId="2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5">
    <w:name w:val="toc 1"/>
    <w:basedOn w:val="1"/>
    <w:next w:val="1"/>
    <w:qFormat/>
    <w:uiPriority w:val="39"/>
    <w:pPr>
      <w:spacing w:before="192"/>
      <w:ind w:left="677"/>
    </w:pPr>
    <w:rPr>
      <w:rFonts w:ascii="黑体" w:hAnsi="黑体" w:eastAsia="黑体" w:cs="黑体"/>
      <w:b/>
      <w:bCs/>
      <w:sz w:val="19"/>
      <w:szCs w:val="19"/>
    </w:rPr>
  </w:style>
  <w:style w:type="paragraph" w:styleId="26">
    <w:name w:val="toc 4"/>
    <w:basedOn w:val="1"/>
    <w:next w:val="1"/>
    <w:unhideWhenUsed/>
    <w:qFormat/>
    <w:uiPriority w:val="39"/>
    <w:pPr>
      <w:autoSpaceDE/>
      <w:autoSpaceDN/>
      <w:ind w:left="1260" w:leftChars="600"/>
      <w:jc w:val="both"/>
    </w:pPr>
    <w:rPr>
      <w:rFonts w:asciiTheme="minorHAnsi" w:hAnsiTheme="minorHAnsi" w:eastAsiaTheme="minorEastAsia" w:cstheme="minorBidi"/>
      <w:kern w:val="2"/>
      <w:sz w:val="21"/>
      <w:lang w:val="en-US" w:bidi="ar-SA"/>
    </w:rPr>
  </w:style>
  <w:style w:type="paragraph" w:styleId="27">
    <w:name w:val="footnote text"/>
    <w:basedOn w:val="1"/>
    <w:link w:val="96"/>
    <w:uiPriority w:val="0"/>
    <w:pPr>
      <w:autoSpaceDE/>
      <w:autoSpaceDN/>
      <w:snapToGrid w:val="0"/>
    </w:pPr>
    <w:rPr>
      <w:rFonts w:asciiTheme="minorHAnsi" w:hAnsiTheme="minorHAnsi" w:eastAsiaTheme="minorEastAsia" w:cstheme="minorBidi"/>
      <w:kern w:val="2"/>
      <w:sz w:val="18"/>
      <w:szCs w:val="18"/>
      <w:lang w:val="en-US" w:bidi="ar-SA"/>
    </w:rPr>
  </w:style>
  <w:style w:type="paragraph" w:styleId="28">
    <w:name w:val="toc 6"/>
    <w:basedOn w:val="1"/>
    <w:next w:val="1"/>
    <w:unhideWhenUsed/>
    <w:qFormat/>
    <w:uiPriority w:val="39"/>
    <w:pPr>
      <w:autoSpaceDE/>
      <w:autoSpaceDN/>
      <w:ind w:left="2100" w:leftChars="1000"/>
      <w:jc w:val="both"/>
    </w:pPr>
    <w:rPr>
      <w:rFonts w:asciiTheme="minorHAnsi" w:hAnsiTheme="minorHAnsi" w:eastAsiaTheme="minorEastAsia" w:cstheme="minorBidi"/>
      <w:kern w:val="2"/>
      <w:sz w:val="21"/>
      <w:lang w:val="en-US" w:bidi="ar-SA"/>
    </w:rPr>
  </w:style>
  <w:style w:type="paragraph" w:styleId="29">
    <w:name w:val="toc 2"/>
    <w:basedOn w:val="1"/>
    <w:next w:val="1"/>
    <w:qFormat/>
    <w:uiPriority w:val="39"/>
    <w:pPr>
      <w:spacing w:before="72"/>
      <w:ind w:left="887"/>
    </w:pPr>
    <w:rPr>
      <w:sz w:val="19"/>
      <w:szCs w:val="19"/>
    </w:rPr>
  </w:style>
  <w:style w:type="paragraph" w:styleId="30">
    <w:name w:val="toc 9"/>
    <w:basedOn w:val="1"/>
    <w:next w:val="1"/>
    <w:unhideWhenUsed/>
    <w:qFormat/>
    <w:uiPriority w:val="39"/>
    <w:pPr>
      <w:autoSpaceDE/>
      <w:autoSpaceDN/>
      <w:ind w:left="3360" w:leftChars="1600"/>
      <w:jc w:val="both"/>
    </w:pPr>
    <w:rPr>
      <w:rFonts w:asciiTheme="minorHAnsi" w:hAnsiTheme="minorHAnsi" w:eastAsiaTheme="minorEastAsia" w:cstheme="minorBidi"/>
      <w:kern w:val="2"/>
      <w:sz w:val="21"/>
      <w:lang w:val="en-US" w:bidi="ar-SA"/>
    </w:rPr>
  </w:style>
  <w:style w:type="paragraph" w:styleId="31">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rPr>
  </w:style>
  <w:style w:type="paragraph" w:styleId="32">
    <w:name w:val="Normal (Web)"/>
    <w:basedOn w:val="1"/>
    <w:qFormat/>
    <w:uiPriority w:val="0"/>
    <w:pPr>
      <w:widowControl/>
      <w:spacing w:before="100" w:beforeAutospacing="1" w:after="100" w:afterAutospacing="1"/>
    </w:pPr>
    <w:rPr>
      <w:sz w:val="24"/>
      <w:szCs w:val="24"/>
    </w:rPr>
  </w:style>
  <w:style w:type="character" w:styleId="34">
    <w:name w:val="page number"/>
    <w:basedOn w:val="33"/>
    <w:qFormat/>
    <w:uiPriority w:val="0"/>
  </w:style>
  <w:style w:type="character" w:styleId="35">
    <w:name w:val="FollowedHyperlink"/>
    <w:basedOn w:val="33"/>
    <w:qFormat/>
    <w:uiPriority w:val="0"/>
    <w:rPr>
      <w:color w:val="800080"/>
      <w:u w:val="none"/>
    </w:rPr>
  </w:style>
  <w:style w:type="character" w:styleId="36">
    <w:name w:val="HTML Definition"/>
    <w:basedOn w:val="33"/>
    <w:qFormat/>
    <w:uiPriority w:val="0"/>
  </w:style>
  <w:style w:type="character" w:styleId="37">
    <w:name w:val="HTML Typewriter"/>
    <w:basedOn w:val="33"/>
    <w:qFormat/>
    <w:uiPriority w:val="0"/>
    <w:rPr>
      <w:rFonts w:hint="default" w:ascii="monospace" w:hAnsi="monospace" w:eastAsia="monospace" w:cs="monospace"/>
      <w:sz w:val="20"/>
    </w:rPr>
  </w:style>
  <w:style w:type="character" w:styleId="38">
    <w:name w:val="HTML Acronym"/>
    <w:basedOn w:val="33"/>
    <w:qFormat/>
    <w:uiPriority w:val="0"/>
  </w:style>
  <w:style w:type="character" w:styleId="39">
    <w:name w:val="HTML Variable"/>
    <w:basedOn w:val="33"/>
    <w:qFormat/>
    <w:uiPriority w:val="0"/>
  </w:style>
  <w:style w:type="character" w:styleId="40">
    <w:name w:val="Hyperlink"/>
    <w:basedOn w:val="33"/>
    <w:qFormat/>
    <w:uiPriority w:val="99"/>
    <w:rPr>
      <w:color w:val="0563C1"/>
      <w:u w:val="single"/>
    </w:rPr>
  </w:style>
  <w:style w:type="character" w:styleId="41">
    <w:name w:val="HTML Code"/>
    <w:basedOn w:val="33"/>
    <w:qFormat/>
    <w:uiPriority w:val="0"/>
    <w:rPr>
      <w:rFonts w:hint="default" w:ascii="monospace" w:hAnsi="monospace" w:eastAsia="monospace" w:cs="monospace"/>
      <w:sz w:val="20"/>
    </w:rPr>
  </w:style>
  <w:style w:type="character" w:styleId="42">
    <w:name w:val="annotation reference"/>
    <w:qFormat/>
    <w:uiPriority w:val="0"/>
    <w:rPr>
      <w:sz w:val="21"/>
      <w:szCs w:val="21"/>
    </w:rPr>
  </w:style>
  <w:style w:type="character" w:styleId="43">
    <w:name w:val="HTML Cite"/>
    <w:basedOn w:val="33"/>
    <w:qFormat/>
    <w:uiPriority w:val="0"/>
  </w:style>
  <w:style w:type="character" w:styleId="44">
    <w:name w:val="footnote reference"/>
    <w:qFormat/>
    <w:uiPriority w:val="0"/>
    <w:rPr>
      <w:vertAlign w:val="superscript"/>
    </w:rPr>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ascii="monospace" w:hAnsi="monospace" w:eastAsia="monospace" w:cs="monospace"/>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9">
    <w:name w:val="List Paragraph_228f7d43-c816-48ab-be1c-a2e52e2fbc06"/>
    <w:basedOn w:val="1"/>
    <w:qFormat/>
    <w:uiPriority w:val="1"/>
    <w:pPr>
      <w:ind w:left="226" w:firstLine="420"/>
    </w:pPr>
  </w:style>
  <w:style w:type="paragraph" w:customStyle="1" w:styleId="50">
    <w:name w:val="Table Paragraph"/>
    <w:basedOn w:val="1"/>
    <w:qFormat/>
    <w:uiPriority w:val="1"/>
  </w:style>
  <w:style w:type="character" w:customStyle="1" w:styleId="51">
    <w:name w:val="页脚 Char"/>
    <w:basedOn w:val="33"/>
    <w:link w:val="23"/>
    <w:qFormat/>
    <w:uiPriority w:val="0"/>
    <w:rPr>
      <w:rFonts w:ascii="宋体" w:hAnsi="宋体" w:cs="宋体"/>
      <w:sz w:val="18"/>
      <w:szCs w:val="18"/>
      <w:lang w:val="zh-CN" w:bidi="zh-CN"/>
    </w:rPr>
  </w:style>
  <w:style w:type="character" w:customStyle="1" w:styleId="52">
    <w:name w:val="批注框文本 Char"/>
    <w:basedOn w:val="33"/>
    <w:link w:val="22"/>
    <w:qFormat/>
    <w:uiPriority w:val="0"/>
    <w:rPr>
      <w:rFonts w:ascii="宋体" w:hAnsi="宋体" w:cs="宋体"/>
      <w:sz w:val="18"/>
      <w:szCs w:val="18"/>
      <w:lang w:val="zh-CN" w:bidi="zh-CN"/>
    </w:rPr>
  </w:style>
  <w:style w:type="character" w:customStyle="1" w:styleId="53">
    <w:name w:val="未处理的提及1"/>
    <w:basedOn w:val="33"/>
    <w:qFormat/>
    <w:uiPriority w:val="99"/>
    <w:rPr>
      <w:color w:val="605E5C"/>
      <w:shd w:val="clear" w:color="auto" w:fill="E1DFDD"/>
    </w:rPr>
  </w:style>
  <w:style w:type="paragraph" w:customStyle="1" w:styleId="5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7">
    <w:name w:val="No Spacing_d6d52d50-3e26-426f-8e39-621472d97e19"/>
    <w:qFormat/>
    <w:uiPriority w:val="1"/>
    <w:pPr>
      <w:widowControl w:val="0"/>
    </w:pPr>
    <w:rPr>
      <w:rFonts w:ascii="Calibri" w:hAnsi="Calibri" w:eastAsia="宋体" w:cs="宋体"/>
      <w:sz w:val="22"/>
      <w:szCs w:val="22"/>
      <w:lang w:val="en-US" w:eastAsia="en-US" w:bidi="ar-SA"/>
    </w:rPr>
  </w:style>
  <w:style w:type="paragraph" w:customStyle="1" w:styleId="58">
    <w:name w:val="Heading #1|1"/>
    <w:basedOn w:val="1"/>
    <w:qFormat/>
    <w:uiPriority w:val="0"/>
    <w:pPr>
      <w:spacing w:before="140" w:after="110" w:line="253" w:lineRule="auto"/>
      <w:ind w:left="1420"/>
      <w:outlineLvl w:val="0"/>
    </w:pPr>
    <w:rPr>
      <w:sz w:val="36"/>
      <w:szCs w:val="36"/>
      <w:lang w:val="zh-TW" w:eastAsia="zh-TW" w:bidi="zh-TW"/>
    </w:rPr>
  </w:style>
  <w:style w:type="paragraph" w:customStyle="1" w:styleId="59">
    <w:name w:val="Body text|1"/>
    <w:basedOn w:val="1"/>
    <w:link w:val="65"/>
    <w:qFormat/>
    <w:uiPriority w:val="0"/>
    <w:pPr>
      <w:spacing w:after="280"/>
      <w:jc w:val="center"/>
    </w:pPr>
    <w:rPr>
      <w:sz w:val="30"/>
      <w:szCs w:val="30"/>
      <w:lang w:val="zh-TW" w:eastAsia="zh-TW" w:bidi="zh-TW"/>
    </w:rPr>
  </w:style>
  <w:style w:type="paragraph" w:customStyle="1" w:styleId="60">
    <w:name w:val="Heading #2|1"/>
    <w:basedOn w:val="1"/>
    <w:qFormat/>
    <w:uiPriority w:val="0"/>
    <w:pPr>
      <w:spacing w:after="120" w:line="253" w:lineRule="auto"/>
      <w:ind w:left="1630"/>
      <w:jc w:val="center"/>
      <w:outlineLvl w:val="1"/>
    </w:pPr>
    <w:rPr>
      <w:b/>
      <w:bCs/>
      <w:sz w:val="30"/>
      <w:szCs w:val="30"/>
      <w:lang w:val="zh-TW" w:eastAsia="zh-TW" w:bidi="zh-TW"/>
    </w:rPr>
  </w:style>
  <w:style w:type="paragraph" w:customStyle="1" w:styleId="61">
    <w:name w:val="Table caption|1"/>
    <w:basedOn w:val="1"/>
    <w:qFormat/>
    <w:uiPriority w:val="0"/>
    <w:rPr>
      <w:b/>
      <w:bCs/>
      <w:sz w:val="20"/>
      <w:szCs w:val="20"/>
      <w:lang w:val="zh-TW" w:eastAsia="zh-TW" w:bidi="zh-TW"/>
    </w:rPr>
  </w:style>
  <w:style w:type="paragraph" w:customStyle="1" w:styleId="62">
    <w:name w:val="Other|1"/>
    <w:basedOn w:val="1"/>
    <w:qFormat/>
    <w:uiPriority w:val="0"/>
    <w:pPr>
      <w:spacing w:line="434" w:lineRule="auto"/>
      <w:ind w:firstLine="400"/>
    </w:pPr>
    <w:rPr>
      <w:lang w:val="zh-TW" w:eastAsia="zh-TW" w:bidi="zh-TW"/>
    </w:rPr>
  </w:style>
  <w:style w:type="paragraph" w:customStyle="1" w:styleId="63">
    <w:name w:val="Heading #3|1"/>
    <w:basedOn w:val="1"/>
    <w:qFormat/>
    <w:uiPriority w:val="0"/>
    <w:pPr>
      <w:spacing w:line="467" w:lineRule="exact"/>
      <w:ind w:firstLine="490"/>
      <w:outlineLvl w:val="2"/>
    </w:pPr>
    <w:rPr>
      <w:b/>
      <w:bCs/>
      <w:lang w:val="zh-TW" w:eastAsia="zh-TW" w:bidi="zh-TW"/>
    </w:rPr>
  </w:style>
  <w:style w:type="paragraph" w:customStyle="1" w:styleId="64">
    <w:name w:val="Heading #4|1"/>
    <w:basedOn w:val="1"/>
    <w:link w:val="66"/>
    <w:qFormat/>
    <w:uiPriority w:val="0"/>
    <w:pPr>
      <w:spacing w:after="100" w:line="587" w:lineRule="exact"/>
      <w:outlineLvl w:val="3"/>
    </w:pPr>
    <w:rPr>
      <w:sz w:val="28"/>
      <w:szCs w:val="28"/>
      <w:lang w:val="zh-TW" w:eastAsia="zh-TW" w:bidi="zh-TW"/>
    </w:rPr>
  </w:style>
  <w:style w:type="character" w:customStyle="1" w:styleId="65">
    <w:name w:val="Body text|1_"/>
    <w:basedOn w:val="33"/>
    <w:link w:val="59"/>
    <w:qFormat/>
    <w:uiPriority w:val="0"/>
    <w:rPr>
      <w:rFonts w:ascii="宋体" w:hAnsi="宋体" w:eastAsia="宋体" w:cs="宋体"/>
      <w:sz w:val="30"/>
      <w:szCs w:val="30"/>
      <w:u w:val="none"/>
      <w:shd w:val="clear" w:color="auto" w:fill="auto"/>
      <w:lang w:val="zh-TW" w:eastAsia="zh-TW" w:bidi="zh-TW"/>
    </w:rPr>
  </w:style>
  <w:style w:type="character" w:customStyle="1" w:styleId="66">
    <w:name w:val="Heading #4|1_"/>
    <w:basedOn w:val="33"/>
    <w:link w:val="64"/>
    <w:qFormat/>
    <w:uiPriority w:val="0"/>
    <w:rPr>
      <w:rFonts w:ascii="宋体" w:hAnsi="宋体" w:eastAsia="宋体" w:cs="宋体"/>
      <w:sz w:val="28"/>
      <w:szCs w:val="28"/>
      <w:u w:val="none"/>
      <w:shd w:val="clear" w:color="auto" w:fill="auto"/>
      <w:lang w:val="zh-TW" w:eastAsia="zh-TW" w:bidi="zh-TW"/>
    </w:rPr>
  </w:style>
  <w:style w:type="paragraph" w:customStyle="1" w:styleId="67">
    <w:name w:val="Table of contents|1"/>
    <w:basedOn w:val="1"/>
    <w:qFormat/>
    <w:uiPriority w:val="0"/>
    <w:pPr>
      <w:spacing w:after="600"/>
    </w:pPr>
    <w:rPr>
      <w:sz w:val="28"/>
      <w:szCs w:val="28"/>
      <w:lang w:val="zh-TW" w:eastAsia="zh-TW" w:bidi="zh-TW"/>
    </w:rPr>
  </w:style>
  <w:style w:type="paragraph" w:customStyle="1" w:styleId="68">
    <w:name w:val="Body text|6"/>
    <w:basedOn w:val="1"/>
    <w:qFormat/>
    <w:uiPriority w:val="0"/>
    <w:pPr>
      <w:spacing w:line="218" w:lineRule="auto"/>
      <w:ind w:hanging="500"/>
    </w:pPr>
    <w:rPr>
      <w:sz w:val="30"/>
      <w:szCs w:val="30"/>
    </w:rPr>
  </w:style>
  <w:style w:type="paragraph" w:customStyle="1" w:styleId="69">
    <w:name w:val="Body text|2"/>
    <w:basedOn w:val="1"/>
    <w:qFormat/>
    <w:uiPriority w:val="0"/>
    <w:pPr>
      <w:spacing w:line="434" w:lineRule="auto"/>
      <w:ind w:firstLine="400"/>
    </w:pPr>
    <w:rPr>
      <w:lang w:val="zh-TW" w:eastAsia="zh-TW" w:bidi="zh-TW"/>
    </w:rPr>
  </w:style>
  <w:style w:type="paragraph" w:customStyle="1" w:styleId="70">
    <w:name w:val="Body text|3"/>
    <w:basedOn w:val="1"/>
    <w:qFormat/>
    <w:uiPriority w:val="0"/>
    <w:pPr>
      <w:spacing w:after="140"/>
    </w:pPr>
    <w:rPr>
      <w:sz w:val="26"/>
      <w:szCs w:val="26"/>
      <w:lang w:val="zh-TW" w:eastAsia="zh-TW" w:bidi="zh-TW"/>
    </w:rPr>
  </w:style>
  <w:style w:type="paragraph" w:customStyle="1" w:styleId="71">
    <w:name w:val="Header or footer|1"/>
    <w:basedOn w:val="1"/>
    <w:qFormat/>
    <w:uiPriority w:val="0"/>
    <w:rPr>
      <w:sz w:val="16"/>
      <w:szCs w:val="16"/>
      <w:lang w:val="zh-TW" w:eastAsia="zh-TW" w:bidi="zh-TW"/>
    </w:rPr>
  </w:style>
  <w:style w:type="paragraph" w:customStyle="1" w:styleId="72">
    <w:name w:val="Header or footer|2"/>
    <w:basedOn w:val="1"/>
    <w:qFormat/>
    <w:uiPriority w:val="0"/>
    <w:rPr>
      <w:sz w:val="20"/>
      <w:szCs w:val="20"/>
      <w:lang w:val="zh-TW" w:eastAsia="zh-TW" w:bidi="zh-TW"/>
    </w:rPr>
  </w:style>
  <w:style w:type="character" w:customStyle="1" w:styleId="73">
    <w:name w:val="layui-this"/>
    <w:basedOn w:val="33"/>
    <w:qFormat/>
    <w:uiPriority w:val="0"/>
    <w:rPr>
      <w:bdr w:val="single" w:color="EEEEEE" w:sz="6" w:space="0"/>
      <w:shd w:val="clear" w:color="auto" w:fill="FFFFFF"/>
    </w:rPr>
  </w:style>
  <w:style w:type="character" w:customStyle="1" w:styleId="74">
    <w:name w:val="first-child1"/>
    <w:basedOn w:val="33"/>
    <w:qFormat/>
    <w:uiPriority w:val="0"/>
  </w:style>
  <w:style w:type="character" w:customStyle="1" w:styleId="75">
    <w:name w:val="first-child2"/>
    <w:basedOn w:val="33"/>
    <w:qFormat/>
    <w:uiPriority w:val="0"/>
  </w:style>
  <w:style w:type="character" w:customStyle="1" w:styleId="76">
    <w:name w:val="first-child"/>
    <w:basedOn w:val="33"/>
    <w:qFormat/>
    <w:uiPriority w:val="0"/>
  </w:style>
  <w:style w:type="paragraph" w:customStyle="1" w:styleId="77">
    <w:name w:val="[基本段落]"/>
    <w:basedOn w:val="78"/>
    <w:qFormat/>
    <w:uiPriority w:val="99"/>
  </w:style>
  <w:style w:type="paragraph" w:customStyle="1" w:styleId="78">
    <w:name w:val="[无段落样式]"/>
    <w:qFormat/>
    <w:uiPriority w:val="99"/>
    <w:pPr>
      <w:widowControl w:val="0"/>
      <w:autoSpaceDE w:val="0"/>
      <w:autoSpaceDN w:val="0"/>
      <w:adjustRightInd w:val="0"/>
      <w:spacing w:line="288" w:lineRule="auto"/>
      <w:jc w:val="both"/>
      <w:textAlignment w:val="center"/>
    </w:pPr>
    <w:rPr>
      <w:rFonts w:hint="eastAsia" w:ascii="宋体" w:hAnsi="宋体" w:eastAsia="宋体" w:cs="Times New Roman"/>
      <w:color w:val="000000"/>
      <w:sz w:val="24"/>
      <w:lang w:val="zh-CN" w:eastAsia="zh-CN" w:bidi="ar-SA"/>
    </w:rPr>
  </w:style>
  <w:style w:type="paragraph" w:customStyle="1" w:styleId="79">
    <w:name w:val="Blockquote"/>
    <w:basedOn w:val="1"/>
    <w:qFormat/>
    <w:uiPriority w:val="0"/>
    <w:pPr>
      <w:adjustRightInd w:val="0"/>
      <w:spacing w:before="100" w:after="100"/>
      <w:ind w:left="360" w:right="360"/>
    </w:pPr>
    <w:rPr>
      <w:sz w:val="24"/>
      <w:szCs w:val="20"/>
    </w:rPr>
  </w:style>
  <w:style w:type="table" w:customStyle="1" w:styleId="80">
    <w:name w:val="Table Normal"/>
    <w:qFormat/>
    <w:uiPriority w:val="2"/>
    <w:tblPr>
      <w:tblLayout w:type="fixed"/>
      <w:tblCellMar>
        <w:top w:w="0" w:type="dxa"/>
        <w:left w:w="0" w:type="dxa"/>
        <w:bottom w:w="0" w:type="dxa"/>
        <w:right w:w="0" w:type="dxa"/>
      </w:tblCellMar>
    </w:tblPr>
  </w:style>
  <w:style w:type="paragraph" w:customStyle="1" w:styleId="81">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TOC 标题2"/>
    <w:basedOn w:val="5"/>
    <w:next w:val="1"/>
    <w:qFormat/>
    <w:uiPriority w:val="0"/>
    <w:pPr>
      <w:keepNext/>
      <w:keepLines/>
      <w:spacing w:before="260" w:after="260" w:line="413" w:lineRule="auto"/>
    </w:pPr>
    <w:rPr>
      <w:rFonts w:cs="Times New Roman"/>
      <w:sz w:val="36"/>
      <w:szCs w:val="44"/>
    </w:rPr>
  </w:style>
  <w:style w:type="paragraph" w:customStyle="1" w:styleId="83">
    <w:name w:val="协议书标题2"/>
    <w:basedOn w:val="6"/>
    <w:next w:val="1"/>
    <w:qFormat/>
    <w:uiPriority w:val="0"/>
    <w:pPr>
      <w:numPr>
        <w:ilvl w:val="0"/>
        <w:numId w:val="1"/>
      </w:numPr>
      <w:tabs>
        <w:tab w:val="left" w:pos="567"/>
      </w:tabs>
      <w:spacing w:line="360" w:lineRule="auto"/>
      <w:ind w:firstLine="0"/>
    </w:pPr>
    <w:rPr>
      <w:rFonts w:ascii="宋体" w:hAnsi="宋体" w:eastAsia="宋体"/>
      <w:sz w:val="24"/>
    </w:rPr>
  </w:style>
  <w:style w:type="paragraph" w:customStyle="1" w:styleId="84">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85">
    <w:name w:val="通用标题2"/>
    <w:basedOn w:val="6"/>
    <w:next w:val="1"/>
    <w:qFormat/>
    <w:uiPriority w:val="0"/>
    <w:pPr>
      <w:numPr>
        <w:ilvl w:val="0"/>
        <w:numId w:val="2"/>
      </w:numPr>
      <w:tabs>
        <w:tab w:val="left" w:pos="993"/>
      </w:tabs>
      <w:spacing w:line="360" w:lineRule="auto"/>
    </w:pPr>
  </w:style>
  <w:style w:type="paragraph" w:customStyle="1" w:styleId="86">
    <w:name w:val="通用标题3"/>
    <w:next w:val="1"/>
    <w:qFormat/>
    <w:uiPriority w:val="0"/>
    <w:pPr>
      <w:widowControl w:val="0"/>
      <w:tabs>
        <w:tab w:val="left" w:pos="851"/>
      </w:tabs>
      <w:adjustRightInd w:val="0"/>
      <w:snapToGrid w:val="0"/>
      <w:spacing w:afterLines="50" w:line="360" w:lineRule="auto"/>
      <w:ind w:left="1843"/>
      <w:jc w:val="both"/>
      <w:outlineLvl w:val="2"/>
    </w:pPr>
    <w:rPr>
      <w:rFonts w:ascii="黑体" w:hAnsi="黑体" w:eastAsia="黑体" w:cs="Times New Roman"/>
      <w:b/>
      <w:kern w:val="2"/>
      <w:sz w:val="24"/>
      <w:szCs w:val="24"/>
      <w:lang w:val="en-US" w:eastAsia="zh-CN" w:bidi="ar-SA"/>
    </w:rPr>
  </w:style>
  <w:style w:type="paragraph" w:customStyle="1" w:styleId="87">
    <w:name w:val="通用标题4"/>
    <w:next w:val="1"/>
    <w:qFormat/>
    <w:uiPriority w:val="0"/>
    <w:pPr>
      <w:tabs>
        <w:tab w:val="left" w:pos="851"/>
      </w:tabs>
      <w:adjustRightInd w:val="0"/>
      <w:snapToGrid w:val="0"/>
      <w:spacing w:afterLines="50" w:line="360" w:lineRule="auto"/>
      <w:ind w:left="2126"/>
      <w:jc w:val="both"/>
      <w:outlineLvl w:val="3"/>
    </w:pPr>
    <w:rPr>
      <w:rFonts w:ascii="宋体" w:hAnsi="宋体" w:eastAsia="宋体" w:cs="Times New Roman"/>
      <w:kern w:val="2"/>
      <w:sz w:val="24"/>
      <w:szCs w:val="21"/>
      <w:lang w:val="en-US" w:eastAsia="zh-CN" w:bidi="ar-SA"/>
    </w:rPr>
  </w:style>
  <w:style w:type="paragraph" w:customStyle="1" w:styleId="88">
    <w:name w:val="通用标题5"/>
    <w:qFormat/>
    <w:uiPriority w:val="0"/>
    <w:pPr>
      <w:widowControl w:val="0"/>
      <w:tabs>
        <w:tab w:val="left" w:pos="1134"/>
      </w:tabs>
      <w:autoSpaceDE w:val="0"/>
      <w:autoSpaceDN w:val="0"/>
      <w:adjustRightInd w:val="0"/>
      <w:snapToGrid w:val="0"/>
      <w:spacing w:afterLines="50" w:line="360" w:lineRule="auto"/>
      <w:ind w:left="710"/>
      <w:jc w:val="both"/>
    </w:pPr>
    <w:rPr>
      <w:rFonts w:ascii="宋体" w:hAnsi="宋体" w:eastAsia="宋体" w:cs="Times New Roman"/>
      <w:kern w:val="2"/>
      <w:sz w:val="24"/>
      <w:szCs w:val="21"/>
      <w:lang w:val="en-US" w:eastAsia="zh-CN" w:bidi="ar-SA"/>
    </w:rPr>
  </w:style>
  <w:style w:type="paragraph" w:customStyle="1" w:styleId="89">
    <w:name w:val="通用标题6"/>
    <w:basedOn w:val="1"/>
    <w:qFormat/>
    <w:uiPriority w:val="0"/>
    <w:pPr>
      <w:tabs>
        <w:tab w:val="left" w:pos="993"/>
      </w:tabs>
      <w:ind w:left="310"/>
    </w:pPr>
  </w:style>
  <w:style w:type="paragraph" w:customStyle="1" w:styleId="90">
    <w:name w:val="专用标题2"/>
    <w:basedOn w:val="6"/>
    <w:next w:val="1"/>
    <w:qFormat/>
    <w:uiPriority w:val="0"/>
    <w:pPr>
      <w:tabs>
        <w:tab w:val="left" w:pos="993"/>
      </w:tabs>
      <w:spacing w:line="360" w:lineRule="auto"/>
      <w:ind w:firstLine="0"/>
    </w:pPr>
    <w:rPr>
      <w:rFonts w:ascii="宋体" w:hAnsi="宋体" w:eastAsia="宋体" w:cs="Times"/>
    </w:rPr>
  </w:style>
  <w:style w:type="paragraph" w:customStyle="1" w:styleId="91">
    <w:name w:val="附件标题"/>
    <w:basedOn w:val="6"/>
    <w:next w:val="1"/>
    <w:qFormat/>
    <w:uiPriority w:val="0"/>
    <w:pPr>
      <w:numPr>
        <w:ilvl w:val="0"/>
        <w:numId w:val="3"/>
      </w:numPr>
      <w:tabs>
        <w:tab w:val="left" w:pos="1134"/>
      </w:tabs>
      <w:spacing w:line="360" w:lineRule="auto"/>
      <w:ind w:firstLine="0"/>
      <w:jc w:val="center"/>
    </w:pPr>
    <w:rPr>
      <w:sz w:val="30"/>
      <w:szCs w:val="30"/>
    </w:rPr>
  </w:style>
  <w:style w:type="paragraph" w:customStyle="1" w:styleId="92">
    <w:name w:val="List Paragraph"/>
    <w:basedOn w:val="1"/>
    <w:qFormat/>
    <w:uiPriority w:val="99"/>
    <w:pPr>
      <w:ind w:firstLine="420" w:firstLineChars="200"/>
    </w:pPr>
  </w:style>
  <w:style w:type="paragraph" w:customStyle="1" w:styleId="93">
    <w:name w:val="TOC 标题1"/>
    <w:basedOn w:val="5"/>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76092" w:themeColor="accent1" w:themeShade="BF"/>
      <w:sz w:val="32"/>
      <w:szCs w:val="32"/>
      <w:lang w:val="en-US" w:bidi="ar-SA"/>
    </w:rPr>
  </w:style>
  <w:style w:type="paragraph" w:customStyle="1" w:styleId="9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5">
    <w:name w:val="标题 4 Char"/>
    <w:basedOn w:val="33"/>
    <w:link w:val="8"/>
    <w:qFormat/>
    <w:uiPriority w:val="1"/>
    <w:rPr>
      <w:rFonts w:ascii="宋体" w:hAnsi="宋体" w:cs="宋体"/>
      <w:sz w:val="28"/>
      <w:szCs w:val="28"/>
      <w:lang w:val="zh-CN" w:bidi="zh-CN"/>
    </w:rPr>
  </w:style>
  <w:style w:type="character" w:customStyle="1" w:styleId="96">
    <w:name w:val="脚注文本 Char"/>
    <w:basedOn w:val="33"/>
    <w:link w:val="27"/>
    <w:uiPriority w:val="0"/>
    <w:rPr>
      <w:rFonts w:asciiTheme="minorHAnsi" w:hAnsiTheme="minorHAnsi" w:eastAsiaTheme="minorEastAsia" w:cstheme="minorBidi"/>
      <w:kern w:val="2"/>
      <w:sz w:val="18"/>
      <w:szCs w:val="18"/>
    </w:rPr>
  </w:style>
  <w:style w:type="paragraph" w:customStyle="1" w:styleId="97">
    <w:name w:val="_Style 4"/>
    <w:basedOn w:val="1"/>
    <w:qFormat/>
    <w:uiPriority w:val="1"/>
    <w:pPr>
      <w:ind w:left="280" w:firstLine="48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54202-CF86-455E-97C3-6D875A394E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137</Pages>
  <Words>16258</Words>
  <Characters>92673</Characters>
  <Lines>772</Lines>
  <Paragraphs>217</Paragraphs>
  <ScaleCrop>false</ScaleCrop>
  <LinksUpToDate>false</LinksUpToDate>
  <CharactersWithSpaces>108714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2023-08-31T08:26:00Z</dcterms:created>
  <dc:creator>说与山鬼听</dc:creator>
  <cp:lastModifiedBy>周维</cp:lastModifiedBy>
  <cp:lastPrinted>2023-06-10T08:48:00Z</cp:lastPrinted>
  <dcterms:modified xsi:type="dcterms:W3CDTF">2023-10-18T03:20:16Z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F4C1FE76D11140CD8F975F718103C8AA</vt:lpwstr>
  </property>
  <property fmtid="{D5CDD505-2E9C-101B-9397-08002B2CF9AE}" pid="4" name="commondata">
    <vt:lpwstr>eyJoZGlkIjoiZjRlZjcxOWUwNzc4MTIwOTI2YzBmMzZjODNjNDViODAifQ==</vt:lpwstr>
  </property>
</Properties>
</file>